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A2" w:rsidRDefault="002861DC">
      <w:pPr>
        <w:spacing w:after="0"/>
        <w:ind w:left="72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5546E" w:rsidRPr="002B27F0" w:rsidRDefault="00E5546E" w:rsidP="002B27F0">
      <w:pPr>
        <w:spacing w:after="124"/>
        <w:ind w:left="105"/>
        <w:jc w:val="center"/>
      </w:pPr>
      <w:r w:rsidRPr="009159D1">
        <w:rPr>
          <w:b/>
          <w:sz w:val="48"/>
          <w:szCs w:val="48"/>
          <w:u w:color="000000"/>
        </w:rPr>
        <w:t>Mouth Care</w:t>
      </w:r>
      <w:r w:rsidR="009159D1">
        <w:rPr>
          <w:b/>
          <w:sz w:val="48"/>
          <w:szCs w:val="48"/>
          <w:u w:color="000000"/>
        </w:rPr>
        <w:t xml:space="preserve"> Matters for </w:t>
      </w:r>
      <w:r w:rsidR="00475056">
        <w:rPr>
          <w:b/>
          <w:sz w:val="48"/>
          <w:szCs w:val="48"/>
          <w:u w:color="000000"/>
        </w:rPr>
        <w:t xml:space="preserve">people with </w:t>
      </w:r>
      <w:r w:rsidR="009159D1">
        <w:rPr>
          <w:b/>
          <w:sz w:val="48"/>
          <w:szCs w:val="48"/>
          <w:u w:color="000000"/>
        </w:rPr>
        <w:t>Neuro-disability</w:t>
      </w:r>
    </w:p>
    <w:p w:rsidR="00475056" w:rsidRDefault="00533ADA" w:rsidP="00533ADA">
      <w:r>
        <w:t xml:space="preserve">The Royal Hospital of </w:t>
      </w:r>
      <w:r w:rsidR="00475056">
        <w:t>Neuro-disability in</w:t>
      </w:r>
      <w:r>
        <w:t xml:space="preserve"> </w:t>
      </w:r>
      <w:r w:rsidR="00475056">
        <w:t>partnership</w:t>
      </w:r>
      <w:r>
        <w:t xml:space="preserve"> with Mouth Care Matters is delighted </w:t>
      </w:r>
      <w:r w:rsidR="00475056">
        <w:t>to be hosting our inaugural oral health conference on Tuesday 1</w:t>
      </w:r>
      <w:r w:rsidR="00475056" w:rsidRPr="00475056">
        <w:rPr>
          <w:vertAlign w:val="superscript"/>
        </w:rPr>
        <w:t>st</w:t>
      </w:r>
      <w:r w:rsidR="00475056">
        <w:t xml:space="preserve"> October. </w:t>
      </w:r>
    </w:p>
    <w:p w:rsidR="00153C40" w:rsidRPr="00153C40" w:rsidRDefault="00475056" w:rsidP="009B5372">
      <w:pPr>
        <w:rPr>
          <w:color w:val="FF0000"/>
        </w:rPr>
      </w:pPr>
      <w:r>
        <w:t xml:space="preserve">Mouth Care Matters is a national oral health </w:t>
      </w:r>
      <w:r w:rsidR="009B5372">
        <w:t xml:space="preserve">training </w:t>
      </w:r>
      <w:r>
        <w:t>programme to improve</w:t>
      </w:r>
      <w:r w:rsidR="00C12318">
        <w:t xml:space="preserve"> the </w:t>
      </w:r>
      <w:r w:rsidR="009B5372">
        <w:t xml:space="preserve">oral health of people in </w:t>
      </w:r>
      <w:r>
        <w:t>hospital</w:t>
      </w:r>
      <w:r w:rsidR="00C12318">
        <w:t>s</w:t>
      </w:r>
      <w:r>
        <w:t xml:space="preserve"> and other care settings.  The work has been developed by the dental team in collaboration with health care professionals at the RHN</w:t>
      </w:r>
      <w:r w:rsidR="009B5372">
        <w:t>.</w:t>
      </w:r>
    </w:p>
    <w:p w:rsidR="001D7744" w:rsidRDefault="001D7744" w:rsidP="001D7744">
      <w:pPr>
        <w:pStyle w:val="Heading1"/>
      </w:pPr>
      <w:r>
        <w:t>Who should attend</w:t>
      </w:r>
    </w:p>
    <w:p w:rsidR="001D7744" w:rsidRDefault="001D7744" w:rsidP="001D7744">
      <w:pPr>
        <w:spacing w:after="0"/>
        <w:ind w:left="117"/>
      </w:pPr>
      <w:r>
        <w:t>This study day is suitable for all nursing staff and allied health care professionals who</w:t>
      </w:r>
      <w:r w:rsidR="00533ADA">
        <w:t xml:space="preserve"> provide</w:t>
      </w:r>
      <w:r>
        <w:t xml:space="preserve"> support </w:t>
      </w:r>
      <w:r w:rsidR="00533ADA">
        <w:t xml:space="preserve">for </w:t>
      </w:r>
      <w:r>
        <w:t>people with neuro-</w:t>
      </w:r>
      <w:r w:rsidR="00475056">
        <w:t>disabilities</w:t>
      </w:r>
      <w:r w:rsidR="009B5372">
        <w:t xml:space="preserve"> with mouth care and those who want to improve the quality of care</w:t>
      </w:r>
    </w:p>
    <w:p w:rsidR="001D7744" w:rsidRDefault="001D7744" w:rsidP="001D7744">
      <w:pPr>
        <w:pStyle w:val="Heading1"/>
      </w:pPr>
      <w:r>
        <w:t>Learning outcomes</w:t>
      </w:r>
      <w:r w:rsidR="00533ADA">
        <w:t xml:space="preserve"> will </w:t>
      </w:r>
      <w:r w:rsidR="00475056">
        <w:t>include</w:t>
      </w:r>
    </w:p>
    <w:p w:rsidR="001D7744" w:rsidRDefault="00C12318" w:rsidP="00533ADA">
      <w:pPr>
        <w:pStyle w:val="ListParagraph"/>
        <w:numPr>
          <w:ilvl w:val="0"/>
          <w:numId w:val="1"/>
        </w:numPr>
        <w:spacing w:after="0"/>
      </w:pPr>
      <w:r>
        <w:t>To understand the links between poor oral health and</w:t>
      </w:r>
      <w:r w:rsidR="00533ADA">
        <w:t xml:space="preserve"> </w:t>
      </w:r>
      <w:r w:rsidR="00475056">
        <w:t>general</w:t>
      </w:r>
      <w:r w:rsidR="00533ADA">
        <w:t xml:space="preserve"> health</w:t>
      </w:r>
    </w:p>
    <w:p w:rsidR="00533ADA" w:rsidRDefault="00533ADA" w:rsidP="00533ADA">
      <w:pPr>
        <w:pStyle w:val="ListParagraph"/>
        <w:numPr>
          <w:ilvl w:val="0"/>
          <w:numId w:val="1"/>
        </w:numPr>
        <w:spacing w:after="0"/>
      </w:pPr>
      <w:r>
        <w:t>To learn more about common oral health issues in people with a neuro- disability</w:t>
      </w:r>
    </w:p>
    <w:p w:rsidR="00533ADA" w:rsidRDefault="00533ADA" w:rsidP="00533ADA">
      <w:pPr>
        <w:pStyle w:val="ListParagraph"/>
        <w:numPr>
          <w:ilvl w:val="0"/>
          <w:numId w:val="1"/>
        </w:numPr>
        <w:spacing w:after="0"/>
      </w:pPr>
      <w:r>
        <w:t xml:space="preserve">To  be able to provide  the  most </w:t>
      </w:r>
      <w:r w:rsidR="00475056">
        <w:t>appropriate</w:t>
      </w:r>
      <w:r>
        <w:t xml:space="preserve">  oral care for people with a </w:t>
      </w:r>
      <w:r w:rsidR="00475056">
        <w:t>neuro-disability</w:t>
      </w:r>
    </w:p>
    <w:p w:rsidR="00533ADA" w:rsidRDefault="00533ADA" w:rsidP="00533ADA">
      <w:pPr>
        <w:pStyle w:val="ListParagraph"/>
        <w:numPr>
          <w:ilvl w:val="0"/>
          <w:numId w:val="1"/>
        </w:numPr>
        <w:spacing w:after="0"/>
      </w:pPr>
      <w:r>
        <w:t>To learn more about how to improve oral health in your</w:t>
      </w:r>
      <w:r w:rsidR="009B5372">
        <w:t xml:space="preserve"> care setting</w:t>
      </w:r>
    </w:p>
    <w:p w:rsidR="001D7744" w:rsidRDefault="00161C86" w:rsidP="001D7744">
      <w:pPr>
        <w:pStyle w:val="Heading1"/>
      </w:pPr>
      <w:r>
        <w:t>Agenda</w:t>
      </w:r>
    </w:p>
    <w:p w:rsidR="00DE0D59" w:rsidRDefault="00DE0D59" w:rsidP="00DE0D59"/>
    <w:tbl>
      <w:tblPr>
        <w:tblStyle w:val="TableGrid0"/>
        <w:tblW w:w="10298" w:type="dxa"/>
        <w:tblLook w:val="04A0" w:firstRow="1" w:lastRow="0" w:firstColumn="1" w:lastColumn="0" w:noHBand="0" w:noVBand="1"/>
      </w:tblPr>
      <w:tblGrid>
        <w:gridCol w:w="1149"/>
        <w:gridCol w:w="5119"/>
        <w:gridCol w:w="4030"/>
      </w:tblGrid>
      <w:tr w:rsidR="006B45B9" w:rsidRPr="00405CF3" w:rsidTr="00373216">
        <w:trPr>
          <w:trHeight w:val="508"/>
        </w:trPr>
        <w:tc>
          <w:tcPr>
            <w:tcW w:w="1149" w:type="dxa"/>
            <w:shd w:val="clear" w:color="auto" w:fill="2F5496" w:themeFill="accent1" w:themeFillShade="BF"/>
            <w:vAlign w:val="center"/>
          </w:tcPr>
          <w:p w:rsidR="006B45B9" w:rsidRPr="00405CF3" w:rsidRDefault="006B45B9" w:rsidP="009F6AD5">
            <w:pPr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t>09:30</w:t>
            </w:r>
          </w:p>
        </w:tc>
        <w:tc>
          <w:tcPr>
            <w:tcW w:w="5119" w:type="dxa"/>
            <w:shd w:val="clear" w:color="auto" w:fill="2F5496" w:themeFill="accent1" w:themeFillShade="BF"/>
            <w:vAlign w:val="center"/>
          </w:tcPr>
          <w:p w:rsidR="006B45B9" w:rsidRPr="00405CF3" w:rsidRDefault="006B45B9" w:rsidP="009F6AD5">
            <w:pPr>
              <w:rPr>
                <w:rFonts w:eastAsia="Times New Roman" w:cstheme="minorHAnsi"/>
                <w:bCs/>
                <w:color w:val="FFFFFF" w:themeColor="background1"/>
                <w:sz w:val="28"/>
                <w:szCs w:val="32"/>
              </w:rPr>
            </w:pPr>
            <w:r>
              <w:rPr>
                <w:rFonts w:eastAsia="Times New Roman" w:cstheme="minorHAnsi"/>
                <w:bCs/>
                <w:color w:val="FFFFFF" w:themeColor="background1"/>
                <w:sz w:val="28"/>
                <w:szCs w:val="32"/>
              </w:rPr>
              <w:t>Welcome and registration</w:t>
            </w:r>
          </w:p>
        </w:tc>
        <w:tc>
          <w:tcPr>
            <w:tcW w:w="4030" w:type="dxa"/>
            <w:shd w:val="clear" w:color="auto" w:fill="2F5496" w:themeFill="accent1" w:themeFillShade="BF"/>
          </w:tcPr>
          <w:p w:rsidR="006B45B9" w:rsidRDefault="006E381D" w:rsidP="009F6AD5">
            <w:pPr>
              <w:rPr>
                <w:rFonts w:eastAsia="Times New Roman" w:cstheme="minorHAnsi"/>
                <w:bCs/>
                <w:color w:val="FFFFFF" w:themeColor="background1"/>
                <w:sz w:val="28"/>
                <w:szCs w:val="32"/>
              </w:rPr>
            </w:pPr>
            <w:r>
              <w:rPr>
                <w:rFonts w:eastAsia="Times New Roman" w:cstheme="minorHAnsi"/>
                <w:bCs/>
                <w:color w:val="FFFFFF" w:themeColor="background1"/>
                <w:sz w:val="28"/>
                <w:szCs w:val="32"/>
              </w:rPr>
              <w:t>De Lancey Low</w:t>
            </w:r>
            <w:r w:rsidR="00373216">
              <w:rPr>
                <w:rFonts w:eastAsia="Times New Roman" w:cstheme="minorHAnsi"/>
                <w:bCs/>
                <w:color w:val="FFFFFF" w:themeColor="background1"/>
                <w:sz w:val="28"/>
                <w:szCs w:val="32"/>
              </w:rPr>
              <w:t>e</w:t>
            </w:r>
            <w:r>
              <w:rPr>
                <w:rFonts w:eastAsia="Times New Roman" w:cstheme="minorHAnsi"/>
                <w:bCs/>
                <w:color w:val="FFFFFF" w:themeColor="background1"/>
                <w:sz w:val="28"/>
                <w:szCs w:val="32"/>
              </w:rPr>
              <w:t xml:space="preserve"> Room</w:t>
            </w:r>
          </w:p>
        </w:tc>
      </w:tr>
      <w:tr w:rsidR="006B45B9" w:rsidRPr="00405CF3" w:rsidTr="00373216">
        <w:trPr>
          <w:trHeight w:val="661"/>
        </w:trPr>
        <w:tc>
          <w:tcPr>
            <w:tcW w:w="1149" w:type="dxa"/>
            <w:vAlign w:val="center"/>
          </w:tcPr>
          <w:p w:rsidR="006B45B9" w:rsidRPr="00C947EF" w:rsidRDefault="006B45B9" w:rsidP="009F6AD5">
            <w:pPr>
              <w:rPr>
                <w:sz w:val="28"/>
              </w:rPr>
            </w:pPr>
            <w:r>
              <w:rPr>
                <w:sz w:val="28"/>
              </w:rPr>
              <w:t>10:00</w:t>
            </w:r>
          </w:p>
        </w:tc>
        <w:tc>
          <w:tcPr>
            <w:tcW w:w="5119" w:type="dxa"/>
            <w:vAlign w:val="center"/>
          </w:tcPr>
          <w:p w:rsidR="006B45B9" w:rsidRPr="00405CF3" w:rsidRDefault="006B45B9" w:rsidP="00DE0D59">
            <w:pPr>
              <w:rPr>
                <w:sz w:val="28"/>
              </w:rPr>
            </w:pPr>
            <w:r w:rsidRPr="00DE0D59">
              <w:rPr>
                <w:sz w:val="28"/>
              </w:rPr>
              <w:t>Introduction and</w:t>
            </w:r>
            <w:r>
              <w:rPr>
                <w:sz w:val="28"/>
              </w:rPr>
              <w:t xml:space="preserve"> </w:t>
            </w:r>
            <w:r w:rsidRPr="00DE0D59">
              <w:rPr>
                <w:sz w:val="28"/>
              </w:rPr>
              <w:t>Overview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030" w:type="dxa"/>
          </w:tcPr>
          <w:p w:rsidR="006B45B9" w:rsidRPr="00DE0D59" w:rsidRDefault="006B45B9" w:rsidP="0056532E">
            <w:pPr>
              <w:rPr>
                <w:sz w:val="28"/>
              </w:rPr>
            </w:pPr>
            <w:r>
              <w:rPr>
                <w:sz w:val="28"/>
              </w:rPr>
              <w:t>Graham Manley</w:t>
            </w:r>
            <w:r w:rsidR="0056532E">
              <w:rPr>
                <w:sz w:val="28"/>
              </w:rPr>
              <w:t xml:space="preserve"> ( Head of dental department)</w:t>
            </w:r>
          </w:p>
        </w:tc>
      </w:tr>
      <w:tr w:rsidR="006B45B9" w:rsidRPr="00405CF3" w:rsidTr="00373216">
        <w:trPr>
          <w:trHeight w:val="760"/>
        </w:trPr>
        <w:tc>
          <w:tcPr>
            <w:tcW w:w="1149" w:type="dxa"/>
            <w:vAlign w:val="center"/>
          </w:tcPr>
          <w:p w:rsidR="006B45B9" w:rsidRPr="00C947EF" w:rsidRDefault="006B45B9" w:rsidP="009F6AD5">
            <w:pPr>
              <w:rPr>
                <w:sz w:val="28"/>
              </w:rPr>
            </w:pPr>
            <w:r>
              <w:rPr>
                <w:sz w:val="28"/>
              </w:rPr>
              <w:t>10:10</w:t>
            </w:r>
          </w:p>
        </w:tc>
        <w:tc>
          <w:tcPr>
            <w:tcW w:w="5119" w:type="dxa"/>
            <w:vAlign w:val="center"/>
          </w:tcPr>
          <w:p w:rsidR="006B45B9" w:rsidRPr="00405CF3" w:rsidRDefault="006B45B9" w:rsidP="009F6AD5">
            <w:pPr>
              <w:rPr>
                <w:sz w:val="28"/>
              </w:rPr>
            </w:pPr>
            <w:r w:rsidRPr="00DE0D59">
              <w:rPr>
                <w:sz w:val="28"/>
              </w:rPr>
              <w:t>What is good oral health?</w:t>
            </w:r>
          </w:p>
        </w:tc>
        <w:tc>
          <w:tcPr>
            <w:tcW w:w="4030" w:type="dxa"/>
          </w:tcPr>
          <w:p w:rsidR="006B45B9" w:rsidRPr="00DE0D59" w:rsidRDefault="006B45B9" w:rsidP="009F6AD5">
            <w:pPr>
              <w:rPr>
                <w:sz w:val="28"/>
              </w:rPr>
            </w:pPr>
            <w:r>
              <w:rPr>
                <w:sz w:val="28"/>
              </w:rPr>
              <w:t>Louise Gallagher</w:t>
            </w:r>
            <w:r w:rsidR="0056532E">
              <w:rPr>
                <w:sz w:val="28"/>
              </w:rPr>
              <w:t xml:space="preserve"> ( Dental nurse manager)</w:t>
            </w:r>
          </w:p>
        </w:tc>
      </w:tr>
      <w:tr w:rsidR="006B45B9" w:rsidRPr="00405CF3" w:rsidTr="00373216">
        <w:trPr>
          <w:trHeight w:val="744"/>
        </w:trPr>
        <w:tc>
          <w:tcPr>
            <w:tcW w:w="1149" w:type="dxa"/>
            <w:vAlign w:val="center"/>
          </w:tcPr>
          <w:p w:rsidR="006B45B9" w:rsidRPr="00C947EF" w:rsidRDefault="006B45B9" w:rsidP="00DE0D59">
            <w:pPr>
              <w:rPr>
                <w:sz w:val="28"/>
              </w:rPr>
            </w:pPr>
            <w:r w:rsidRPr="00C947EF">
              <w:rPr>
                <w:sz w:val="28"/>
              </w:rPr>
              <w:t>10:</w:t>
            </w:r>
            <w:r>
              <w:rPr>
                <w:sz w:val="28"/>
              </w:rPr>
              <w:t>25</w:t>
            </w:r>
          </w:p>
        </w:tc>
        <w:tc>
          <w:tcPr>
            <w:tcW w:w="5119" w:type="dxa"/>
            <w:vAlign w:val="center"/>
          </w:tcPr>
          <w:p w:rsidR="006B45B9" w:rsidRPr="00405CF3" w:rsidRDefault="006B45B9" w:rsidP="009F6AD5">
            <w:pPr>
              <w:rPr>
                <w:sz w:val="28"/>
              </w:rPr>
            </w:pPr>
            <w:r w:rsidRPr="00DE0D59">
              <w:rPr>
                <w:sz w:val="28"/>
              </w:rPr>
              <w:t>Oral health and links to general health</w:t>
            </w:r>
          </w:p>
        </w:tc>
        <w:tc>
          <w:tcPr>
            <w:tcW w:w="4030" w:type="dxa"/>
          </w:tcPr>
          <w:p w:rsidR="006B45B9" w:rsidRPr="00DE0D59" w:rsidRDefault="006B45B9" w:rsidP="009F6AD5">
            <w:pPr>
              <w:rPr>
                <w:sz w:val="28"/>
              </w:rPr>
            </w:pPr>
            <w:r>
              <w:rPr>
                <w:sz w:val="28"/>
              </w:rPr>
              <w:t>Damien Reilly</w:t>
            </w:r>
            <w:r w:rsidR="0056532E">
              <w:rPr>
                <w:sz w:val="28"/>
              </w:rPr>
              <w:t xml:space="preserve"> (Consultant in special care dentistry) </w:t>
            </w:r>
          </w:p>
        </w:tc>
      </w:tr>
      <w:tr w:rsidR="006B45B9" w:rsidRPr="00405CF3" w:rsidTr="00373216">
        <w:trPr>
          <w:trHeight w:val="744"/>
        </w:trPr>
        <w:tc>
          <w:tcPr>
            <w:tcW w:w="1149" w:type="dxa"/>
            <w:vAlign w:val="center"/>
          </w:tcPr>
          <w:p w:rsidR="006B45B9" w:rsidRPr="00C947EF" w:rsidRDefault="006B45B9" w:rsidP="00DE0D59">
            <w:pPr>
              <w:rPr>
                <w:sz w:val="28"/>
              </w:rPr>
            </w:pPr>
            <w:r>
              <w:rPr>
                <w:sz w:val="28"/>
              </w:rPr>
              <w:t>1040</w:t>
            </w:r>
          </w:p>
        </w:tc>
        <w:tc>
          <w:tcPr>
            <w:tcW w:w="5119" w:type="dxa"/>
            <w:vAlign w:val="center"/>
          </w:tcPr>
          <w:p w:rsidR="006B45B9" w:rsidRPr="00DE0D59" w:rsidRDefault="006B45B9" w:rsidP="009F6AD5">
            <w:pPr>
              <w:rPr>
                <w:sz w:val="28"/>
              </w:rPr>
            </w:pPr>
            <w:r w:rsidRPr="00DE0D59">
              <w:rPr>
                <w:sz w:val="28"/>
              </w:rPr>
              <w:t>Oral health research and neuro-disability</w:t>
            </w:r>
          </w:p>
        </w:tc>
        <w:tc>
          <w:tcPr>
            <w:tcW w:w="4030" w:type="dxa"/>
          </w:tcPr>
          <w:p w:rsidR="006B45B9" w:rsidRDefault="006B45B9" w:rsidP="009F6AD5">
            <w:pPr>
              <w:rPr>
                <w:sz w:val="28"/>
              </w:rPr>
            </w:pPr>
            <w:r>
              <w:rPr>
                <w:sz w:val="28"/>
              </w:rPr>
              <w:t>Ria Prasad</w:t>
            </w:r>
            <w:r w:rsidR="0056532E">
              <w:rPr>
                <w:sz w:val="28"/>
              </w:rPr>
              <w:t xml:space="preserve"> (Consultant in special care dentistry)</w:t>
            </w:r>
          </w:p>
        </w:tc>
      </w:tr>
      <w:tr w:rsidR="006B45B9" w:rsidRPr="00405CF3" w:rsidTr="00373216">
        <w:trPr>
          <w:trHeight w:val="550"/>
        </w:trPr>
        <w:tc>
          <w:tcPr>
            <w:tcW w:w="1149" w:type="dxa"/>
            <w:shd w:val="clear" w:color="auto" w:fill="2F5496" w:themeFill="accent1" w:themeFillShade="BF"/>
            <w:vAlign w:val="center"/>
          </w:tcPr>
          <w:p w:rsidR="006B45B9" w:rsidRPr="00C947EF" w:rsidRDefault="006B45B9" w:rsidP="009F6AD5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11:00</w:t>
            </w:r>
          </w:p>
        </w:tc>
        <w:tc>
          <w:tcPr>
            <w:tcW w:w="5119" w:type="dxa"/>
            <w:shd w:val="clear" w:color="auto" w:fill="2F5496" w:themeFill="accent1" w:themeFillShade="BF"/>
            <w:vAlign w:val="center"/>
          </w:tcPr>
          <w:p w:rsidR="006B45B9" w:rsidRPr="005D56FE" w:rsidRDefault="006B45B9" w:rsidP="009F6AD5">
            <w:pPr>
              <w:rPr>
                <w:bCs/>
                <w:color w:val="FFFFFF" w:themeColor="background1"/>
                <w:sz w:val="28"/>
              </w:rPr>
            </w:pPr>
            <w:r>
              <w:rPr>
                <w:bCs/>
                <w:color w:val="FFFFFF" w:themeColor="background1"/>
                <w:sz w:val="28"/>
              </w:rPr>
              <w:t>Break</w:t>
            </w:r>
          </w:p>
        </w:tc>
        <w:tc>
          <w:tcPr>
            <w:tcW w:w="4030" w:type="dxa"/>
            <w:shd w:val="clear" w:color="auto" w:fill="2F5496" w:themeFill="accent1" w:themeFillShade="BF"/>
          </w:tcPr>
          <w:p w:rsidR="006B45B9" w:rsidRDefault="00373216" w:rsidP="009F6AD5">
            <w:pPr>
              <w:rPr>
                <w:bCs/>
                <w:color w:val="FFFFFF" w:themeColor="background1"/>
                <w:sz w:val="28"/>
              </w:rPr>
            </w:pPr>
            <w:r>
              <w:rPr>
                <w:rFonts w:eastAsia="Times New Roman" w:cstheme="minorHAnsi"/>
                <w:bCs/>
                <w:color w:val="FFFFFF" w:themeColor="background1"/>
                <w:sz w:val="28"/>
                <w:szCs w:val="32"/>
              </w:rPr>
              <w:t>De Lancey Lowe Room</w:t>
            </w:r>
          </w:p>
        </w:tc>
      </w:tr>
      <w:tr w:rsidR="006B45B9" w:rsidRPr="00405CF3" w:rsidTr="00373216">
        <w:trPr>
          <w:trHeight w:val="739"/>
        </w:trPr>
        <w:tc>
          <w:tcPr>
            <w:tcW w:w="1149" w:type="dxa"/>
            <w:vAlign w:val="center"/>
          </w:tcPr>
          <w:p w:rsidR="006B45B9" w:rsidRPr="00C947EF" w:rsidRDefault="006E381D" w:rsidP="009F6AD5">
            <w:pPr>
              <w:rPr>
                <w:sz w:val="28"/>
              </w:rPr>
            </w:pPr>
            <w:r>
              <w:rPr>
                <w:sz w:val="28"/>
              </w:rPr>
              <w:t>11:30</w:t>
            </w:r>
          </w:p>
        </w:tc>
        <w:tc>
          <w:tcPr>
            <w:tcW w:w="5119" w:type="dxa"/>
            <w:vAlign w:val="center"/>
          </w:tcPr>
          <w:p w:rsidR="006B45B9" w:rsidRDefault="006B45B9" w:rsidP="009F6AD5">
            <w:pPr>
              <w:rPr>
                <w:sz w:val="28"/>
              </w:rPr>
            </w:pPr>
            <w:r w:rsidRPr="00DE0D59">
              <w:rPr>
                <w:sz w:val="28"/>
              </w:rPr>
              <w:t>Specific considerations for mouth care in people with a neuro-disability</w:t>
            </w:r>
          </w:p>
          <w:p w:rsidR="00A41241" w:rsidRPr="00405CF3" w:rsidRDefault="00A41241" w:rsidP="009F6AD5">
            <w:pPr>
              <w:rPr>
                <w:sz w:val="28"/>
              </w:rPr>
            </w:pPr>
          </w:p>
        </w:tc>
        <w:tc>
          <w:tcPr>
            <w:tcW w:w="4030" w:type="dxa"/>
          </w:tcPr>
          <w:p w:rsidR="006B45B9" w:rsidRPr="00DE0D59" w:rsidRDefault="006E381D" w:rsidP="009F6AD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Mutiple</w:t>
            </w:r>
            <w:proofErr w:type="spellEnd"/>
            <w:r>
              <w:rPr>
                <w:sz w:val="28"/>
              </w:rPr>
              <w:t xml:space="preserve"> speakers</w:t>
            </w:r>
          </w:p>
        </w:tc>
      </w:tr>
      <w:tr w:rsidR="006B45B9" w:rsidRPr="00405CF3" w:rsidTr="00373216">
        <w:trPr>
          <w:trHeight w:val="688"/>
        </w:trPr>
        <w:tc>
          <w:tcPr>
            <w:tcW w:w="1149" w:type="dxa"/>
            <w:vAlign w:val="center"/>
          </w:tcPr>
          <w:p w:rsidR="006B45B9" w:rsidRPr="00C947EF" w:rsidRDefault="001D6364" w:rsidP="009F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5119" w:type="dxa"/>
            <w:vAlign w:val="center"/>
          </w:tcPr>
          <w:p w:rsidR="006B45B9" w:rsidRPr="00405CF3" w:rsidRDefault="001D6364" w:rsidP="009F6A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MDT </w:t>
            </w:r>
            <w:r w:rsidR="006E381D">
              <w:rPr>
                <w:bCs/>
                <w:sz w:val="28"/>
                <w:szCs w:val="28"/>
              </w:rPr>
              <w:t>Cases</w:t>
            </w:r>
          </w:p>
        </w:tc>
        <w:tc>
          <w:tcPr>
            <w:tcW w:w="4030" w:type="dxa"/>
          </w:tcPr>
          <w:p w:rsidR="006B45B9" w:rsidRPr="00DE0D59" w:rsidRDefault="006B45B9" w:rsidP="006E38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SLTs (Becky)</w:t>
            </w:r>
          </w:p>
        </w:tc>
      </w:tr>
      <w:tr w:rsidR="006B45B9" w:rsidRPr="00405CF3" w:rsidTr="00373216">
        <w:trPr>
          <w:trHeight w:val="437"/>
        </w:trPr>
        <w:tc>
          <w:tcPr>
            <w:tcW w:w="1149" w:type="dxa"/>
            <w:shd w:val="clear" w:color="auto" w:fill="2F5496" w:themeFill="accent1" w:themeFillShade="BF"/>
            <w:vAlign w:val="center"/>
          </w:tcPr>
          <w:p w:rsidR="006B45B9" w:rsidRPr="00C947EF" w:rsidRDefault="006B45B9" w:rsidP="009F6AD5">
            <w:pPr>
              <w:rPr>
                <w:color w:val="FFFFFF" w:themeColor="background1"/>
                <w:sz w:val="28"/>
              </w:rPr>
            </w:pPr>
            <w:r w:rsidRPr="00C947EF">
              <w:rPr>
                <w:color w:val="FFFFFF" w:themeColor="background1"/>
                <w:sz w:val="28"/>
              </w:rPr>
              <w:t xml:space="preserve">12:45 </w:t>
            </w:r>
            <w:r w:rsidR="00373216">
              <w:rPr>
                <w:color w:val="FFFFFF" w:themeColor="background1"/>
                <w:sz w:val="28"/>
              </w:rPr>
              <w:t>-1330</w:t>
            </w:r>
          </w:p>
        </w:tc>
        <w:tc>
          <w:tcPr>
            <w:tcW w:w="5119" w:type="dxa"/>
            <w:shd w:val="clear" w:color="auto" w:fill="2F5496" w:themeFill="accent1" w:themeFillShade="BF"/>
            <w:vAlign w:val="center"/>
          </w:tcPr>
          <w:p w:rsidR="006B45B9" w:rsidRPr="00405CF3" w:rsidRDefault="006B45B9" w:rsidP="009F6AD5">
            <w:pPr>
              <w:rPr>
                <w:color w:val="FFFFFF" w:themeColor="background1"/>
                <w:sz w:val="28"/>
              </w:rPr>
            </w:pPr>
            <w:r w:rsidRPr="00405CF3">
              <w:rPr>
                <w:color w:val="FFFFFF" w:themeColor="background1"/>
                <w:sz w:val="28"/>
              </w:rPr>
              <w:t>Lunch</w:t>
            </w:r>
            <w:r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4030" w:type="dxa"/>
            <w:shd w:val="clear" w:color="auto" w:fill="2F5496" w:themeFill="accent1" w:themeFillShade="BF"/>
          </w:tcPr>
          <w:p w:rsidR="006B45B9" w:rsidRPr="00405CF3" w:rsidRDefault="00373216" w:rsidP="009F6AD5">
            <w:pPr>
              <w:rPr>
                <w:color w:val="FFFFFF" w:themeColor="background1"/>
                <w:sz w:val="28"/>
              </w:rPr>
            </w:pPr>
            <w:r>
              <w:rPr>
                <w:rFonts w:eastAsia="Times New Roman" w:cstheme="minorHAnsi"/>
                <w:bCs/>
                <w:color w:val="FFFFFF" w:themeColor="background1"/>
                <w:sz w:val="28"/>
                <w:szCs w:val="32"/>
              </w:rPr>
              <w:t>De Lancey Lowe Room</w:t>
            </w:r>
          </w:p>
        </w:tc>
      </w:tr>
      <w:tr w:rsidR="006B45B9" w:rsidRPr="00405CF3" w:rsidTr="00373216">
        <w:trPr>
          <w:trHeight w:val="622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6B45B9" w:rsidRPr="00C947EF" w:rsidRDefault="006B45B9" w:rsidP="009F6AD5">
            <w:pPr>
              <w:rPr>
                <w:sz w:val="28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6B45B9" w:rsidRDefault="006E381D" w:rsidP="009F6AD5">
            <w:pPr>
              <w:rPr>
                <w:sz w:val="28"/>
              </w:rPr>
            </w:pPr>
            <w:r>
              <w:rPr>
                <w:sz w:val="28"/>
              </w:rPr>
              <w:t>(Ro</w:t>
            </w:r>
            <w:r w:rsidR="006B45B9">
              <w:rPr>
                <w:sz w:val="28"/>
              </w:rPr>
              <w:t xml:space="preserve">tate </w:t>
            </w:r>
            <w:proofErr w:type="spellStart"/>
            <w:r w:rsidR="006B45B9">
              <w:rPr>
                <w:sz w:val="28"/>
              </w:rPr>
              <w:t>amonst</w:t>
            </w:r>
            <w:proofErr w:type="spellEnd"/>
            <w:r w:rsidR="006B45B9">
              <w:rPr>
                <w:sz w:val="28"/>
              </w:rPr>
              <w:t xml:space="preserve"> all </w:t>
            </w:r>
            <w:proofErr w:type="spellStart"/>
            <w:r w:rsidR="006B45B9">
              <w:rPr>
                <w:sz w:val="28"/>
              </w:rPr>
              <w:t>work shops</w:t>
            </w:r>
            <w:proofErr w:type="spellEnd"/>
            <w:r w:rsidR="006B45B9">
              <w:rPr>
                <w:sz w:val="28"/>
              </w:rPr>
              <w:t xml:space="preserve"> )</w:t>
            </w:r>
          </w:p>
          <w:p w:rsidR="006B45B9" w:rsidRDefault="006B45B9" w:rsidP="009F6AD5">
            <w:pPr>
              <w:rPr>
                <w:sz w:val="28"/>
              </w:rPr>
            </w:pPr>
            <w:r>
              <w:rPr>
                <w:sz w:val="28"/>
              </w:rPr>
              <w:t>Work Shop 1   Desensitisation</w:t>
            </w:r>
            <w:r w:rsidR="001D6364">
              <w:rPr>
                <w:sz w:val="28"/>
              </w:rPr>
              <w:t xml:space="preserve"> </w:t>
            </w:r>
          </w:p>
          <w:p w:rsidR="006B45B9" w:rsidRDefault="006B45B9" w:rsidP="009F6AD5">
            <w:pPr>
              <w:rPr>
                <w:sz w:val="28"/>
              </w:rPr>
            </w:pPr>
            <w:r>
              <w:rPr>
                <w:sz w:val="28"/>
              </w:rPr>
              <w:t xml:space="preserve">Work shop 2   Mouth care </w:t>
            </w:r>
            <w:proofErr w:type="spellStart"/>
            <w:r>
              <w:rPr>
                <w:sz w:val="28"/>
              </w:rPr>
              <w:t>assesments</w:t>
            </w:r>
            <w:proofErr w:type="spellEnd"/>
            <w:r>
              <w:rPr>
                <w:sz w:val="28"/>
              </w:rPr>
              <w:t xml:space="preserve"> and   recording </w:t>
            </w:r>
          </w:p>
          <w:p w:rsidR="006B45B9" w:rsidRDefault="006B45B9" w:rsidP="009F6AD5">
            <w:pPr>
              <w:rPr>
                <w:sz w:val="28"/>
              </w:rPr>
            </w:pPr>
            <w:r>
              <w:rPr>
                <w:sz w:val="28"/>
              </w:rPr>
              <w:t xml:space="preserve">Work shop 3  Tour of dental department </w:t>
            </w:r>
          </w:p>
          <w:p w:rsidR="006B45B9" w:rsidRPr="00DE0D59" w:rsidRDefault="00A41241" w:rsidP="009F6AD5">
            <w:pPr>
              <w:rPr>
                <w:sz w:val="28"/>
              </w:rPr>
            </w:pPr>
            <w:r>
              <w:rPr>
                <w:sz w:val="28"/>
              </w:rPr>
              <w:t>Work shop 4  Mouth Care p</w:t>
            </w:r>
            <w:r w:rsidR="006B45B9">
              <w:rPr>
                <w:sz w:val="28"/>
              </w:rPr>
              <w:t>r</w:t>
            </w:r>
            <w:r>
              <w:rPr>
                <w:sz w:val="28"/>
              </w:rPr>
              <w:t>o</w:t>
            </w:r>
            <w:r w:rsidR="006B45B9">
              <w:rPr>
                <w:sz w:val="28"/>
              </w:rPr>
              <w:t>ducts and practical tips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6B45B9" w:rsidRDefault="006B45B9" w:rsidP="009F6AD5">
            <w:pPr>
              <w:rPr>
                <w:sz w:val="28"/>
              </w:rPr>
            </w:pPr>
          </w:p>
          <w:p w:rsidR="001D6364" w:rsidRDefault="0056532E" w:rsidP="009F6AD5">
            <w:pPr>
              <w:rPr>
                <w:sz w:val="28"/>
              </w:rPr>
            </w:pPr>
            <w:r>
              <w:rPr>
                <w:sz w:val="28"/>
              </w:rPr>
              <w:t>Team</w:t>
            </w:r>
          </w:p>
          <w:p w:rsidR="006E381D" w:rsidRPr="00DE0D59" w:rsidRDefault="006E381D" w:rsidP="0056532E">
            <w:pPr>
              <w:rPr>
                <w:sz w:val="28"/>
              </w:rPr>
            </w:pPr>
          </w:p>
        </w:tc>
      </w:tr>
      <w:tr w:rsidR="004C2EE5" w:rsidRPr="00405CF3" w:rsidTr="00373216">
        <w:trPr>
          <w:trHeight w:val="622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4C2EE5" w:rsidRPr="00C947EF" w:rsidRDefault="004C2EE5" w:rsidP="009F6AD5">
            <w:pPr>
              <w:rPr>
                <w:sz w:val="28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4C2EE5" w:rsidRDefault="004C2EE5" w:rsidP="009F6AD5">
            <w:pPr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4C2EE5" w:rsidRPr="00DE0D59" w:rsidRDefault="004C2EE5" w:rsidP="009F6AD5">
            <w:pPr>
              <w:rPr>
                <w:sz w:val="28"/>
              </w:rPr>
            </w:pPr>
          </w:p>
        </w:tc>
      </w:tr>
      <w:tr w:rsidR="006B45B9" w:rsidRPr="00405CF3" w:rsidTr="00373216">
        <w:trPr>
          <w:trHeight w:val="559"/>
        </w:trPr>
        <w:tc>
          <w:tcPr>
            <w:tcW w:w="1149" w:type="dxa"/>
            <w:vAlign w:val="center"/>
          </w:tcPr>
          <w:p w:rsidR="006B45B9" w:rsidRPr="00C947EF" w:rsidRDefault="00073A45" w:rsidP="009F6AD5">
            <w:pPr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5119" w:type="dxa"/>
            <w:vAlign w:val="center"/>
          </w:tcPr>
          <w:p w:rsidR="006B45B9" w:rsidRPr="00DE0D59" w:rsidRDefault="006B45B9" w:rsidP="00DE0D59">
            <w:pPr>
              <w:rPr>
                <w:sz w:val="28"/>
              </w:rPr>
            </w:pPr>
            <w:r w:rsidRPr="00DE0D59">
              <w:rPr>
                <w:sz w:val="28"/>
              </w:rPr>
              <w:t>Dental considerations</w:t>
            </w:r>
          </w:p>
        </w:tc>
        <w:tc>
          <w:tcPr>
            <w:tcW w:w="4030" w:type="dxa"/>
          </w:tcPr>
          <w:p w:rsidR="006B45B9" w:rsidRPr="00DE0D59" w:rsidRDefault="0056532E" w:rsidP="00DE0D59">
            <w:pPr>
              <w:rPr>
                <w:sz w:val="28"/>
              </w:rPr>
            </w:pPr>
            <w:r>
              <w:rPr>
                <w:sz w:val="28"/>
              </w:rPr>
              <w:t>Team</w:t>
            </w:r>
          </w:p>
        </w:tc>
      </w:tr>
      <w:tr w:rsidR="006B45B9" w:rsidRPr="00405CF3" w:rsidTr="00373216">
        <w:trPr>
          <w:trHeight w:val="604"/>
        </w:trPr>
        <w:tc>
          <w:tcPr>
            <w:tcW w:w="1149" w:type="dxa"/>
            <w:vAlign w:val="center"/>
          </w:tcPr>
          <w:p w:rsidR="006B45B9" w:rsidRPr="00C947EF" w:rsidRDefault="00073A45" w:rsidP="00DE0D59">
            <w:pPr>
              <w:rPr>
                <w:sz w:val="28"/>
              </w:rPr>
            </w:pPr>
            <w:r>
              <w:rPr>
                <w:sz w:val="28"/>
              </w:rPr>
              <w:t>1530</w:t>
            </w:r>
          </w:p>
        </w:tc>
        <w:tc>
          <w:tcPr>
            <w:tcW w:w="5119" w:type="dxa"/>
            <w:vAlign w:val="center"/>
          </w:tcPr>
          <w:p w:rsidR="006B45B9" w:rsidRPr="00405CF3" w:rsidRDefault="006B45B9" w:rsidP="009F6AD5">
            <w:pPr>
              <w:rPr>
                <w:sz w:val="28"/>
              </w:rPr>
            </w:pPr>
            <w:r w:rsidRPr="00DE0D59">
              <w:rPr>
                <w:sz w:val="28"/>
              </w:rPr>
              <w:t>How to improve quality of mouth care in your place of work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030" w:type="dxa"/>
          </w:tcPr>
          <w:p w:rsidR="006B45B9" w:rsidRPr="00DE0D59" w:rsidRDefault="00073A45" w:rsidP="009F6AD5">
            <w:pPr>
              <w:rPr>
                <w:sz w:val="28"/>
              </w:rPr>
            </w:pPr>
            <w:r>
              <w:rPr>
                <w:sz w:val="28"/>
              </w:rPr>
              <w:t>Mili Doshi</w:t>
            </w:r>
            <w:r w:rsidR="0056532E">
              <w:rPr>
                <w:sz w:val="28"/>
              </w:rPr>
              <w:t xml:space="preserve"> (Consultant in special care dentistry)</w:t>
            </w:r>
          </w:p>
        </w:tc>
      </w:tr>
      <w:tr w:rsidR="006B45B9" w:rsidRPr="00405CF3" w:rsidTr="00373216">
        <w:trPr>
          <w:trHeight w:val="604"/>
        </w:trPr>
        <w:tc>
          <w:tcPr>
            <w:tcW w:w="1149" w:type="dxa"/>
            <w:vAlign w:val="center"/>
          </w:tcPr>
          <w:p w:rsidR="006B45B9" w:rsidRDefault="00D51638" w:rsidP="00DE0D59">
            <w:pPr>
              <w:rPr>
                <w:sz w:val="28"/>
              </w:rPr>
            </w:pPr>
            <w:r>
              <w:rPr>
                <w:sz w:val="28"/>
              </w:rPr>
              <w:t>1545</w:t>
            </w:r>
          </w:p>
        </w:tc>
        <w:tc>
          <w:tcPr>
            <w:tcW w:w="5119" w:type="dxa"/>
            <w:vAlign w:val="center"/>
          </w:tcPr>
          <w:p w:rsidR="006B45B9" w:rsidRDefault="00D51638" w:rsidP="00D51638">
            <w:pPr>
              <w:rPr>
                <w:sz w:val="28"/>
              </w:rPr>
            </w:pPr>
            <w:r>
              <w:rPr>
                <w:sz w:val="28"/>
              </w:rPr>
              <w:t>Final questions and evaluation</w:t>
            </w:r>
          </w:p>
        </w:tc>
        <w:tc>
          <w:tcPr>
            <w:tcW w:w="4030" w:type="dxa"/>
          </w:tcPr>
          <w:p w:rsidR="006B45B9" w:rsidRPr="00DE0D59" w:rsidRDefault="006B45B9" w:rsidP="009F6AD5">
            <w:pPr>
              <w:rPr>
                <w:sz w:val="28"/>
              </w:rPr>
            </w:pPr>
          </w:p>
        </w:tc>
      </w:tr>
      <w:tr w:rsidR="006B45B9" w:rsidRPr="00405CF3" w:rsidTr="00373216">
        <w:trPr>
          <w:trHeight w:val="492"/>
        </w:trPr>
        <w:tc>
          <w:tcPr>
            <w:tcW w:w="1149" w:type="dxa"/>
            <w:shd w:val="clear" w:color="auto" w:fill="2F5496" w:themeFill="accent1" w:themeFillShade="BF"/>
            <w:vAlign w:val="center"/>
          </w:tcPr>
          <w:p w:rsidR="006B45B9" w:rsidRPr="00C947EF" w:rsidRDefault="006B45B9" w:rsidP="00DE0D59">
            <w:pPr>
              <w:rPr>
                <w:color w:val="FFFFFF" w:themeColor="background1"/>
                <w:sz w:val="28"/>
              </w:rPr>
            </w:pPr>
            <w:r w:rsidRPr="00C947EF">
              <w:rPr>
                <w:color w:val="FFFFFF" w:themeColor="background1"/>
                <w:sz w:val="28"/>
              </w:rPr>
              <w:t>16:</w:t>
            </w:r>
            <w:r>
              <w:rPr>
                <w:color w:val="FFFFFF" w:themeColor="background1"/>
                <w:sz w:val="28"/>
              </w:rPr>
              <w:t>15</w:t>
            </w:r>
          </w:p>
        </w:tc>
        <w:tc>
          <w:tcPr>
            <w:tcW w:w="5119" w:type="dxa"/>
            <w:shd w:val="clear" w:color="auto" w:fill="2F5496" w:themeFill="accent1" w:themeFillShade="BF"/>
            <w:vAlign w:val="center"/>
          </w:tcPr>
          <w:p w:rsidR="006B45B9" w:rsidRPr="00405CF3" w:rsidRDefault="006B45B9" w:rsidP="00DE0D59">
            <w:pPr>
              <w:rPr>
                <w:color w:val="FFFFFF" w:themeColor="background1"/>
                <w:sz w:val="28"/>
              </w:rPr>
            </w:pPr>
            <w:r>
              <w:rPr>
                <w:bCs/>
                <w:color w:val="FFFFFF" w:themeColor="background1"/>
                <w:sz w:val="28"/>
              </w:rPr>
              <w:t>Conference c</w:t>
            </w:r>
            <w:r w:rsidRPr="00405CF3">
              <w:rPr>
                <w:bCs/>
                <w:color w:val="FFFFFF" w:themeColor="background1"/>
                <w:sz w:val="28"/>
              </w:rPr>
              <w:t>lose</w:t>
            </w:r>
          </w:p>
        </w:tc>
        <w:tc>
          <w:tcPr>
            <w:tcW w:w="4030" w:type="dxa"/>
            <w:shd w:val="clear" w:color="auto" w:fill="2F5496" w:themeFill="accent1" w:themeFillShade="BF"/>
          </w:tcPr>
          <w:p w:rsidR="006B45B9" w:rsidRDefault="006B45B9" w:rsidP="00DE0D59">
            <w:pPr>
              <w:rPr>
                <w:bCs/>
                <w:color w:val="FFFFFF" w:themeColor="background1"/>
                <w:sz w:val="28"/>
              </w:rPr>
            </w:pPr>
          </w:p>
        </w:tc>
      </w:tr>
    </w:tbl>
    <w:p w:rsidR="00DE0D59" w:rsidRPr="00DE0D59" w:rsidRDefault="00DE0D59" w:rsidP="00DE0D59"/>
    <w:p w:rsidR="006945A2" w:rsidRDefault="006E7342" w:rsidP="00D77DDB">
      <w:pPr>
        <w:spacing w:after="12409"/>
      </w:pPr>
      <w:r>
        <w:t xml:space="preserve">Please note all timings are an estimate. The day may be longer or shorter depending on participation </w:t>
      </w:r>
    </w:p>
    <w:sectPr w:rsidR="006945A2">
      <w:headerReference w:type="default" r:id="rId8"/>
      <w:footerReference w:type="default" r:id="rId9"/>
      <w:pgSz w:w="11904" w:h="16840"/>
      <w:pgMar w:top="1440" w:right="116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D9" w:rsidRDefault="00C20DD9" w:rsidP="00E5546E">
      <w:pPr>
        <w:spacing w:after="0" w:line="240" w:lineRule="auto"/>
      </w:pPr>
      <w:r>
        <w:separator/>
      </w:r>
    </w:p>
  </w:endnote>
  <w:endnote w:type="continuationSeparator" w:id="0">
    <w:p w:rsidR="00C20DD9" w:rsidRDefault="00C20DD9" w:rsidP="00E5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7F0" w:rsidRDefault="002B27F0" w:rsidP="002B27F0">
    <w:pPr>
      <w:pStyle w:val="Footer"/>
      <w:jc w:val="right"/>
    </w:pPr>
    <w:r>
      <w:rPr>
        <w:rFonts w:ascii="Times New Roman" w:eastAsia="Times New Roman" w:hAnsi="Times New Roman" w:cs="Times New Roman"/>
        <w:noProof/>
        <w:sz w:val="20"/>
      </w:rPr>
      <w:drawing>
        <wp:inline distT="0" distB="0" distL="0" distR="0" wp14:anchorId="337D1024" wp14:editId="5FE106D3">
          <wp:extent cx="1490996" cy="486684"/>
          <wp:effectExtent l="0" t="0" r="0" b="8890"/>
          <wp:docPr id="4" name="Picture 4" descr="C:\Users\mdoshi\AppData\Local\Microsoft\Windows\Temporary Internet Files\Content.Outlook\SSZGDP77\rhn2colour_2lin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doshi\AppData\Local\Microsoft\Windows\Temporary Internet Files\Content.Outlook\SSZGDP77\rhn2colour_2lin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41" cy="488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D9" w:rsidRDefault="00C20DD9" w:rsidP="00E5546E">
      <w:pPr>
        <w:spacing w:after="0" w:line="240" w:lineRule="auto"/>
      </w:pPr>
      <w:r>
        <w:separator/>
      </w:r>
    </w:p>
  </w:footnote>
  <w:footnote w:type="continuationSeparator" w:id="0">
    <w:p w:rsidR="00C20DD9" w:rsidRDefault="00C20DD9" w:rsidP="00E5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6E" w:rsidRDefault="008E4FDE">
    <w:pPr>
      <w:pStyle w:val="Header"/>
    </w:pPr>
    <w:sdt>
      <w:sdtPr>
        <w:id w:val="83866697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11B21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436745" o:spid="_x0000_s2051" type="#_x0000_t136" style="position:absolute;margin-left:0;margin-top:0;width:423.4pt;height:254pt;rotation:315;z-index:-251658240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5546E">
      <w:rPr>
        <w:noProof/>
      </w:rPr>
      <w:drawing>
        <wp:anchor distT="0" distB="0" distL="114300" distR="114300" simplePos="0" relativeHeight="251657216" behindDoc="0" locked="0" layoutInCell="1" allowOverlap="0" wp14:anchorId="48D7B3D9" wp14:editId="161B61A1">
          <wp:simplePos x="0" y="0"/>
          <wp:positionH relativeFrom="margin">
            <wp:align>center</wp:align>
          </wp:positionH>
          <wp:positionV relativeFrom="page">
            <wp:posOffset>409575</wp:posOffset>
          </wp:positionV>
          <wp:extent cx="6790182" cy="512826"/>
          <wp:effectExtent l="0" t="0" r="0" b="1905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0182" cy="512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B27F0">
      <w:rPr>
        <w:noProof/>
      </w:rPr>
      <w:t xml:space="preserve">                                  </w:t>
    </w:r>
    <w:r w:rsidR="002B27F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3F4A"/>
    <w:multiLevelType w:val="hybridMultilevel"/>
    <w:tmpl w:val="71B230C0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50C0113F"/>
    <w:multiLevelType w:val="hybridMultilevel"/>
    <w:tmpl w:val="60A8A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A2"/>
    <w:rsid w:val="00073A45"/>
    <w:rsid w:val="00102125"/>
    <w:rsid w:val="00153C40"/>
    <w:rsid w:val="00160E56"/>
    <w:rsid w:val="00161C86"/>
    <w:rsid w:val="001A5B56"/>
    <w:rsid w:val="001D3ACF"/>
    <w:rsid w:val="001D6364"/>
    <w:rsid w:val="001D7744"/>
    <w:rsid w:val="002256D8"/>
    <w:rsid w:val="002861DC"/>
    <w:rsid w:val="00291760"/>
    <w:rsid w:val="002B27F0"/>
    <w:rsid w:val="00373216"/>
    <w:rsid w:val="00475056"/>
    <w:rsid w:val="004B5467"/>
    <w:rsid w:val="004C2EE5"/>
    <w:rsid w:val="00533ADA"/>
    <w:rsid w:val="00537C36"/>
    <w:rsid w:val="00543602"/>
    <w:rsid w:val="005470F5"/>
    <w:rsid w:val="0056532E"/>
    <w:rsid w:val="005659D9"/>
    <w:rsid w:val="006945A2"/>
    <w:rsid w:val="006A784D"/>
    <w:rsid w:val="006B45B9"/>
    <w:rsid w:val="006E381D"/>
    <w:rsid w:val="006E7342"/>
    <w:rsid w:val="00717951"/>
    <w:rsid w:val="008E4FDE"/>
    <w:rsid w:val="009159D1"/>
    <w:rsid w:val="009B5372"/>
    <w:rsid w:val="009D1D7C"/>
    <w:rsid w:val="009D72E0"/>
    <w:rsid w:val="009E52B0"/>
    <w:rsid w:val="00A271AA"/>
    <w:rsid w:val="00A41241"/>
    <w:rsid w:val="00A575B6"/>
    <w:rsid w:val="00AB099D"/>
    <w:rsid w:val="00C12318"/>
    <w:rsid w:val="00C20DD9"/>
    <w:rsid w:val="00D51638"/>
    <w:rsid w:val="00D77DDB"/>
    <w:rsid w:val="00DE0D59"/>
    <w:rsid w:val="00E5546E"/>
    <w:rsid w:val="00F15B1B"/>
    <w:rsid w:val="00F648BF"/>
    <w:rsid w:val="00FA1AE1"/>
    <w:rsid w:val="00F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2C99266-BB12-4D74-A10A-301618A4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E73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46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5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46E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A2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C8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84"/>
    <w:rPr>
      <w:rFonts w:ascii="Tahoma" w:eastAsia="Calibri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77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33ADA"/>
    <w:pPr>
      <w:ind w:left="720"/>
      <w:contextualSpacing/>
    </w:pPr>
  </w:style>
  <w:style w:type="table" w:styleId="TableGrid0">
    <w:name w:val="Table Grid"/>
    <w:basedOn w:val="TableNormal"/>
    <w:uiPriority w:val="59"/>
    <w:rsid w:val="00DE0D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A1A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0260-AA2C-4028-B5D4-A34AC39F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LUTSCH, George</dc:creator>
  <cp:lastModifiedBy>Anna Harlow</cp:lastModifiedBy>
  <cp:revision>2</cp:revision>
  <cp:lastPrinted>2019-09-09T12:31:00Z</cp:lastPrinted>
  <dcterms:created xsi:type="dcterms:W3CDTF">2019-09-12T14:23:00Z</dcterms:created>
  <dcterms:modified xsi:type="dcterms:W3CDTF">2019-09-12T14:23:00Z</dcterms:modified>
</cp:coreProperties>
</file>