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2039C" w14:textId="77777777" w:rsidR="008D5BEF" w:rsidRDefault="00BC6FC1">
      <w:pPr>
        <w:spacing w:after="91" w:line="262" w:lineRule="auto"/>
        <w:ind w:left="2"/>
      </w:pPr>
      <w:r>
        <w:rPr>
          <w:rFonts w:ascii="Times New Roman" w:eastAsia="Times New Roman" w:hAnsi="Times New Roman" w:cs="Times New Roman"/>
          <w:color w:val="005B82"/>
          <w:sz w:val="52"/>
        </w:rPr>
        <w:t xml:space="preserve">Staff Pension and Life Assurance Scheme of the Royal Hospital for Neuro-disability Defined Contribution Section </w:t>
      </w:r>
    </w:p>
    <w:p w14:paraId="17012754" w14:textId="6DAC64CE" w:rsidR="008D5BEF" w:rsidRDefault="00BC6FC1">
      <w:pPr>
        <w:spacing w:after="135"/>
        <w:ind w:left="2"/>
      </w:pPr>
      <w:r>
        <w:rPr>
          <w:rFonts w:ascii="Times New Roman" w:eastAsia="Times New Roman" w:hAnsi="Times New Roman" w:cs="Times New Roman"/>
          <w:color w:val="3CB6CE"/>
          <w:sz w:val="36"/>
        </w:rPr>
        <w:t xml:space="preserve">Statement of Investment Principles – </w:t>
      </w:r>
      <w:r w:rsidR="00B53390">
        <w:rPr>
          <w:rFonts w:ascii="Times New Roman" w:eastAsia="Times New Roman" w:hAnsi="Times New Roman" w:cs="Times New Roman"/>
          <w:color w:val="3CB6CE"/>
          <w:sz w:val="36"/>
        </w:rPr>
        <w:t xml:space="preserve">March 2025 </w:t>
      </w:r>
    </w:p>
    <w:p w14:paraId="224E8913" w14:textId="77777777" w:rsidR="008D5BEF" w:rsidRDefault="00BC6FC1" w:rsidP="00563014">
      <w:pPr>
        <w:pStyle w:val="Heading1"/>
      </w:pPr>
      <w:r>
        <w:t xml:space="preserve">Introduction </w:t>
      </w:r>
    </w:p>
    <w:p w14:paraId="39ED6349" w14:textId="5ABC4AA2" w:rsidR="008D5BEF" w:rsidRDefault="00BC6FC1">
      <w:pPr>
        <w:spacing w:after="203" w:line="284" w:lineRule="auto"/>
        <w:ind w:left="-3" w:hanging="10"/>
        <w:jc w:val="both"/>
      </w:pPr>
      <w:r>
        <w:rPr>
          <w:rFonts w:ascii="Times New Roman" w:eastAsia="Times New Roman" w:hAnsi="Times New Roman" w:cs="Times New Roman"/>
          <w:color w:val="747678"/>
          <w:sz w:val="20"/>
        </w:rPr>
        <w:t>The Trustees of the Staff Pension and Life Assurance Scheme of the Royal Hospital for Neuro-disability (the “Trustees” and “Scheme” respectively) have drawn up this Statement of Investment Principles (the “Statement”) to comply with the requirements of the Pensions Act 1995</w:t>
      </w:r>
      <w:r w:rsidR="0034512C">
        <w:rPr>
          <w:rFonts w:ascii="Times New Roman" w:eastAsia="Times New Roman" w:hAnsi="Times New Roman" w:cs="Times New Roman"/>
          <w:color w:val="747678"/>
          <w:sz w:val="20"/>
        </w:rPr>
        <w:t xml:space="preserve"> (as amended)</w:t>
      </w:r>
      <w:r>
        <w:rPr>
          <w:rFonts w:ascii="Times New Roman" w:eastAsia="Times New Roman" w:hAnsi="Times New Roman" w:cs="Times New Roman"/>
          <w:color w:val="747678"/>
          <w:sz w:val="20"/>
        </w:rPr>
        <w:t xml:space="preserve">, </w:t>
      </w:r>
      <w:r w:rsidR="008645EB">
        <w:rPr>
          <w:rFonts w:ascii="Times New Roman" w:eastAsia="Times New Roman" w:hAnsi="Times New Roman" w:cs="Times New Roman"/>
          <w:color w:val="747678"/>
          <w:sz w:val="20"/>
        </w:rPr>
        <w:t xml:space="preserve">and </w:t>
      </w:r>
      <w:r>
        <w:rPr>
          <w:rFonts w:ascii="Times New Roman" w:eastAsia="Times New Roman" w:hAnsi="Times New Roman" w:cs="Times New Roman"/>
          <w:color w:val="747678"/>
          <w:sz w:val="20"/>
        </w:rPr>
        <w:t xml:space="preserve">the Occupational Pension Schemes (Investment) Regulations 2005. </w:t>
      </w:r>
    </w:p>
    <w:p w14:paraId="6306C900" w14:textId="77777777" w:rsidR="008D5BEF" w:rsidRDefault="00BC6FC1">
      <w:pPr>
        <w:spacing w:after="203" w:line="284" w:lineRule="auto"/>
        <w:ind w:left="-3" w:hanging="10"/>
        <w:jc w:val="both"/>
      </w:pPr>
      <w:r>
        <w:rPr>
          <w:rFonts w:ascii="Times New Roman" w:eastAsia="Times New Roman" w:hAnsi="Times New Roman" w:cs="Times New Roman"/>
          <w:color w:val="747678"/>
          <w:sz w:val="20"/>
        </w:rPr>
        <w:t xml:space="preserve">The Statement is intended to affirm the investment principles that govern decisions about the Scheme’s investments.  </w:t>
      </w:r>
    </w:p>
    <w:p w14:paraId="1659EAE8" w14:textId="1BC95166" w:rsidR="008D5BEF" w:rsidRDefault="0088134C" w:rsidP="00F97AFE">
      <w:pPr>
        <w:spacing w:after="203" w:line="284" w:lineRule="auto"/>
        <w:ind w:left="-3" w:hanging="10"/>
        <w:jc w:val="both"/>
      </w:pPr>
      <w:r w:rsidRPr="0088134C">
        <w:rPr>
          <w:rFonts w:ascii="Times New Roman" w:eastAsia="Times New Roman" w:hAnsi="Times New Roman" w:cs="Times New Roman"/>
          <w:color w:val="747678"/>
          <w:sz w:val="20"/>
        </w:rPr>
        <w:t>The Scheme operates for the exclusive purpose of providing retirement benefits and death benefits to eligible participants and beneficiaries</w:t>
      </w:r>
      <w:r w:rsidR="00BC6FC1">
        <w:rPr>
          <w:rFonts w:ascii="Times New Roman" w:eastAsia="Times New Roman" w:hAnsi="Times New Roman" w:cs="Times New Roman"/>
          <w:color w:val="747678"/>
          <w:sz w:val="20"/>
        </w:rPr>
        <w:t xml:space="preserve">. </w:t>
      </w:r>
    </w:p>
    <w:p w14:paraId="12957AF5" w14:textId="77777777" w:rsidR="008D5BEF" w:rsidRDefault="00BC6FC1" w:rsidP="00563014">
      <w:pPr>
        <w:pStyle w:val="Heading1"/>
      </w:pPr>
      <w:r>
        <w:t xml:space="preserve">Governance </w:t>
      </w:r>
    </w:p>
    <w:p w14:paraId="0C54C4CE" w14:textId="3BC1D15A" w:rsidR="006C2D82" w:rsidRDefault="006C2D82" w:rsidP="006C2D82">
      <w:pPr>
        <w:spacing w:after="234" w:line="284" w:lineRule="auto"/>
        <w:ind w:left="-3" w:hanging="10"/>
        <w:jc w:val="both"/>
        <w:rPr>
          <w:rFonts w:ascii="Times New Roman" w:eastAsia="Times New Roman" w:hAnsi="Times New Roman" w:cs="Times New Roman"/>
          <w:color w:val="747678"/>
          <w:sz w:val="20"/>
        </w:rPr>
      </w:pPr>
      <w:r w:rsidRPr="006C2D82">
        <w:rPr>
          <w:rFonts w:ascii="Times New Roman" w:eastAsia="Times New Roman" w:hAnsi="Times New Roman" w:cs="Times New Roman"/>
          <w:color w:val="747678"/>
          <w:sz w:val="20"/>
        </w:rPr>
        <w:t>The Trustees make the key strategic decisions relating to the Scheme’s investments, and to support the objectives of the Scheme’s investment strategy</w:t>
      </w:r>
      <w:r w:rsidR="00FB49C4">
        <w:rPr>
          <w:rFonts w:ascii="Times New Roman" w:eastAsia="Times New Roman" w:hAnsi="Times New Roman" w:cs="Times New Roman"/>
          <w:color w:val="747678"/>
          <w:sz w:val="20"/>
        </w:rPr>
        <w:t>.</w:t>
      </w:r>
    </w:p>
    <w:p w14:paraId="4807A23D" w14:textId="1AB7EF0A" w:rsidR="007A22F1" w:rsidRDefault="00BC6FC1">
      <w:pPr>
        <w:spacing w:after="243" w:line="284" w:lineRule="auto"/>
        <w:ind w:left="-3" w:hanging="10"/>
        <w:jc w:val="both"/>
        <w:rPr>
          <w:rFonts w:ascii="Times New Roman" w:eastAsia="Times New Roman" w:hAnsi="Times New Roman" w:cs="Times New Roman"/>
          <w:color w:val="747678"/>
          <w:sz w:val="20"/>
        </w:rPr>
      </w:pPr>
      <w:r>
        <w:rPr>
          <w:rFonts w:ascii="Times New Roman" w:eastAsia="Times New Roman" w:hAnsi="Times New Roman" w:cs="Times New Roman"/>
          <w:color w:val="747678"/>
          <w:sz w:val="20"/>
        </w:rPr>
        <w:t xml:space="preserve">When making decisions, and when appropriate, the Trustees take proper advice.  </w:t>
      </w:r>
    </w:p>
    <w:p w14:paraId="6168541C" w14:textId="1D5A1672" w:rsidR="008D5BEF" w:rsidRDefault="00BC6FC1">
      <w:pPr>
        <w:spacing w:after="243" w:line="284" w:lineRule="auto"/>
        <w:ind w:left="-3" w:hanging="10"/>
        <w:jc w:val="both"/>
      </w:pPr>
      <w:r>
        <w:rPr>
          <w:rFonts w:ascii="Times New Roman" w:eastAsia="Times New Roman" w:hAnsi="Times New Roman" w:cs="Times New Roman"/>
          <w:color w:val="747678"/>
          <w:sz w:val="20"/>
        </w:rPr>
        <w:t xml:space="preserve">The Trustees’ investment consultants, Capita Employee Benefits, are qualified by their ability in and practical experience of financial matters, and have the appropriate knowledge and experience to provide advice. </w:t>
      </w:r>
    </w:p>
    <w:p w14:paraId="7A6F8EA9" w14:textId="77777777" w:rsidR="008D5BEF" w:rsidRDefault="00BC6FC1" w:rsidP="00563014">
      <w:pPr>
        <w:pStyle w:val="Heading1"/>
      </w:pPr>
      <w:r>
        <w:t xml:space="preserve">Scheme Constitution </w:t>
      </w:r>
    </w:p>
    <w:p w14:paraId="24C0D717" w14:textId="403421BF" w:rsidR="008D5BEF" w:rsidRDefault="00BC6FC1" w:rsidP="00031595">
      <w:pPr>
        <w:spacing w:after="243" w:line="284" w:lineRule="auto"/>
        <w:ind w:left="-3" w:hanging="10"/>
        <w:jc w:val="both"/>
      </w:pPr>
      <w:r w:rsidRPr="07C162FC">
        <w:rPr>
          <w:rFonts w:ascii="Times New Roman" w:eastAsia="Times New Roman" w:hAnsi="Times New Roman" w:cs="Times New Roman"/>
          <w:color w:val="747678"/>
          <w:sz w:val="20"/>
          <w:szCs w:val="20"/>
        </w:rPr>
        <w:t>The Scheme provides pension benefits on both a Defined Benefit and a Defined Contribution basis. The Defined Contribution (“DC”) Section of the Scheme was introduced for all new entrants after 1 November 2001, following the closure of the Defined Benefit (“DB”) Section to new members, and for all future pension provision following the closure of the DB Section to future accrual on 30 September 2006</w:t>
      </w:r>
      <w:r w:rsidR="003F1A73" w:rsidRPr="07C162FC">
        <w:rPr>
          <w:rFonts w:ascii="Times New Roman" w:eastAsia="Times New Roman" w:hAnsi="Times New Roman" w:cs="Times New Roman"/>
          <w:color w:val="747678"/>
          <w:sz w:val="20"/>
          <w:szCs w:val="20"/>
        </w:rPr>
        <w:t xml:space="preserve">The DC Section of the Scheme closed to future contributions </w:t>
      </w:r>
      <w:r w:rsidR="00031595" w:rsidRPr="07C162FC">
        <w:rPr>
          <w:rFonts w:ascii="Times New Roman" w:eastAsia="Times New Roman" w:hAnsi="Times New Roman" w:cs="Times New Roman"/>
          <w:color w:val="747678"/>
          <w:sz w:val="20"/>
          <w:szCs w:val="20"/>
        </w:rPr>
        <w:t xml:space="preserve">on 30 September 2019, with all the Hospital's current and future employees joining the Aviva Master Trust. The Trustees received advice on the transfer of the DC Section assets in respect of all contributions up to 30 September 2019 and on 30 July 2020, £20.5m of assets for 1,276 members were transferred from the DC Section of the Scheme to the Aviva Master Trust. </w:t>
      </w:r>
    </w:p>
    <w:p w14:paraId="15086433" w14:textId="77777777" w:rsidR="008D5BEF" w:rsidRDefault="00BC6FC1" w:rsidP="00563014">
      <w:pPr>
        <w:pStyle w:val="Heading1"/>
      </w:pPr>
      <w:r>
        <w:t xml:space="preserve">Investment Objectives </w:t>
      </w:r>
    </w:p>
    <w:p w14:paraId="4AEAF181" w14:textId="77777777" w:rsidR="008D5BEF" w:rsidRDefault="00BC6FC1">
      <w:pPr>
        <w:spacing w:after="203" w:line="284" w:lineRule="auto"/>
        <w:ind w:left="-3" w:hanging="10"/>
        <w:jc w:val="both"/>
        <w:rPr>
          <w:rFonts w:ascii="Times New Roman" w:eastAsia="Times New Roman" w:hAnsi="Times New Roman" w:cs="Times New Roman"/>
          <w:color w:val="747678"/>
          <w:sz w:val="20"/>
        </w:rPr>
      </w:pPr>
      <w:r>
        <w:rPr>
          <w:rFonts w:ascii="Times New Roman" w:eastAsia="Times New Roman" w:hAnsi="Times New Roman" w:cs="Times New Roman"/>
          <w:color w:val="747678"/>
          <w:sz w:val="20"/>
        </w:rPr>
        <w:t xml:space="preserve">The Trustees recognise that individual members have different investment needs and that these may change during the course of their working lives. They also recognise that members have differing attitudes to risk.  </w:t>
      </w:r>
    </w:p>
    <w:p w14:paraId="6FB805B7" w14:textId="410DA491" w:rsidR="00AE3D4C" w:rsidRDefault="00187436" w:rsidP="2DE4A570">
      <w:pPr>
        <w:spacing w:after="203" w:line="284" w:lineRule="auto"/>
        <w:ind w:left="-3" w:hanging="10"/>
        <w:jc w:val="both"/>
        <w:rPr>
          <w:rFonts w:ascii="Times New Roman" w:eastAsia="Times New Roman" w:hAnsi="Times New Roman" w:cs="Times New Roman"/>
          <w:color w:val="747678"/>
          <w:sz w:val="20"/>
          <w:szCs w:val="20"/>
        </w:rPr>
      </w:pPr>
      <w:r w:rsidRPr="2DE4A570">
        <w:rPr>
          <w:rFonts w:ascii="Times New Roman" w:eastAsia="Times New Roman" w:hAnsi="Times New Roman" w:cs="Times New Roman"/>
          <w:color w:val="747678"/>
          <w:sz w:val="20"/>
          <w:szCs w:val="20"/>
        </w:rPr>
        <w:t xml:space="preserve">As noted above, in </w:t>
      </w:r>
      <w:r w:rsidR="006C1782" w:rsidRPr="2DE4A570">
        <w:rPr>
          <w:rFonts w:ascii="Times New Roman" w:eastAsia="Times New Roman" w:hAnsi="Times New Roman" w:cs="Times New Roman"/>
          <w:color w:val="747678"/>
          <w:sz w:val="20"/>
          <w:szCs w:val="20"/>
        </w:rPr>
        <w:t xml:space="preserve">order to provide this the majority of DC member benefits were transferred to the </w:t>
      </w:r>
      <w:r w:rsidR="00C56BE1" w:rsidRPr="2DE4A570">
        <w:rPr>
          <w:rFonts w:ascii="Times New Roman" w:eastAsia="Times New Roman" w:hAnsi="Times New Roman" w:cs="Times New Roman"/>
          <w:color w:val="747678"/>
          <w:sz w:val="20"/>
          <w:szCs w:val="20"/>
        </w:rPr>
        <w:t>Aviva Master Trust.</w:t>
      </w:r>
    </w:p>
    <w:p w14:paraId="5CD0CCB9" w14:textId="1DD6D9BB" w:rsidR="00C56BE1" w:rsidRDefault="00C56BE1" w:rsidP="2DE4A570">
      <w:pPr>
        <w:spacing w:after="203" w:line="284" w:lineRule="auto"/>
        <w:ind w:left="-3" w:hanging="10"/>
        <w:jc w:val="both"/>
        <w:rPr>
          <w:rFonts w:ascii="Times New Roman" w:eastAsia="Times New Roman" w:hAnsi="Times New Roman" w:cs="Times New Roman"/>
          <w:color w:val="747678"/>
          <w:sz w:val="20"/>
          <w:szCs w:val="20"/>
        </w:rPr>
      </w:pPr>
      <w:r w:rsidRPr="2DE4A570">
        <w:rPr>
          <w:rFonts w:ascii="Times New Roman" w:eastAsia="Times New Roman" w:hAnsi="Times New Roman" w:cs="Times New Roman"/>
          <w:color w:val="747678"/>
          <w:sz w:val="20"/>
          <w:szCs w:val="20"/>
        </w:rPr>
        <w:t>At the same time some</w:t>
      </w:r>
      <w:r w:rsidR="003534FF" w:rsidRPr="2DE4A570">
        <w:rPr>
          <w:rFonts w:ascii="Times New Roman" w:eastAsia="Times New Roman" w:hAnsi="Times New Roman" w:cs="Times New Roman"/>
          <w:color w:val="747678"/>
          <w:sz w:val="20"/>
          <w:szCs w:val="20"/>
        </w:rPr>
        <w:t>, during this exercise</w:t>
      </w:r>
      <w:r w:rsidR="0026345F" w:rsidRPr="2DE4A570">
        <w:rPr>
          <w:rFonts w:ascii="Times New Roman" w:eastAsia="Times New Roman" w:hAnsi="Times New Roman" w:cs="Times New Roman"/>
          <w:color w:val="747678"/>
          <w:sz w:val="20"/>
          <w:szCs w:val="20"/>
        </w:rPr>
        <w:t>, through</w:t>
      </w:r>
      <w:r w:rsidR="00344841" w:rsidRPr="2DE4A570">
        <w:rPr>
          <w:rFonts w:ascii="Times New Roman" w:eastAsia="Times New Roman" w:hAnsi="Times New Roman" w:cs="Times New Roman"/>
          <w:color w:val="747678"/>
          <w:sz w:val="20"/>
          <w:szCs w:val="20"/>
        </w:rPr>
        <w:t xml:space="preserve"> the process of</w:t>
      </w:r>
      <w:r w:rsidR="003534FF" w:rsidRPr="2DE4A570">
        <w:rPr>
          <w:rFonts w:ascii="Times New Roman" w:eastAsia="Times New Roman" w:hAnsi="Times New Roman" w:cs="Times New Roman"/>
          <w:color w:val="747678"/>
          <w:sz w:val="20"/>
          <w:szCs w:val="20"/>
        </w:rPr>
        <w:t xml:space="preserve"> settling </w:t>
      </w:r>
      <w:r w:rsidR="00344841" w:rsidRPr="2DE4A570">
        <w:rPr>
          <w:rFonts w:ascii="Times New Roman" w:eastAsia="Times New Roman" w:hAnsi="Times New Roman" w:cs="Times New Roman"/>
          <w:color w:val="747678"/>
          <w:sz w:val="20"/>
          <w:szCs w:val="20"/>
        </w:rPr>
        <w:t xml:space="preserve">some </w:t>
      </w:r>
      <w:r w:rsidR="003534FF" w:rsidRPr="2DE4A570">
        <w:rPr>
          <w:rFonts w:ascii="Times New Roman" w:eastAsia="Times New Roman" w:hAnsi="Times New Roman" w:cs="Times New Roman"/>
          <w:color w:val="747678"/>
          <w:sz w:val="20"/>
          <w:szCs w:val="20"/>
        </w:rPr>
        <w:t>benefits</w:t>
      </w:r>
      <w:r w:rsidR="00344841" w:rsidRPr="2DE4A570">
        <w:rPr>
          <w:rFonts w:ascii="Times New Roman" w:eastAsia="Times New Roman" w:hAnsi="Times New Roman" w:cs="Times New Roman"/>
          <w:color w:val="747678"/>
          <w:sz w:val="20"/>
          <w:szCs w:val="20"/>
        </w:rPr>
        <w:t xml:space="preserve"> (to </w:t>
      </w:r>
      <w:r w:rsidR="0026345F" w:rsidRPr="2DE4A570">
        <w:rPr>
          <w:rFonts w:ascii="Times New Roman" w:eastAsia="Times New Roman" w:hAnsi="Times New Roman" w:cs="Times New Roman"/>
          <w:color w:val="747678"/>
          <w:sz w:val="20"/>
          <w:szCs w:val="20"/>
        </w:rPr>
        <w:t xml:space="preserve">either </w:t>
      </w:r>
      <w:r w:rsidR="00344841" w:rsidRPr="2DE4A570">
        <w:rPr>
          <w:rFonts w:ascii="Times New Roman" w:eastAsia="Times New Roman" w:hAnsi="Times New Roman" w:cs="Times New Roman"/>
          <w:color w:val="747678"/>
          <w:sz w:val="20"/>
          <w:szCs w:val="20"/>
        </w:rPr>
        <w:t xml:space="preserve">members or </w:t>
      </w:r>
      <w:r w:rsidR="00CF145B" w:rsidRPr="2DE4A570">
        <w:rPr>
          <w:rFonts w:ascii="Times New Roman" w:eastAsia="Times New Roman" w:hAnsi="Times New Roman" w:cs="Times New Roman"/>
          <w:color w:val="747678"/>
          <w:sz w:val="20"/>
          <w:szCs w:val="20"/>
        </w:rPr>
        <w:t>beneficiaries) or</w:t>
      </w:r>
      <w:r w:rsidR="003534FF" w:rsidRPr="2DE4A570">
        <w:rPr>
          <w:rFonts w:ascii="Times New Roman" w:eastAsia="Times New Roman" w:hAnsi="Times New Roman" w:cs="Times New Roman"/>
          <w:color w:val="747678"/>
          <w:sz w:val="20"/>
          <w:szCs w:val="20"/>
        </w:rPr>
        <w:t xml:space="preserve"> trac</w:t>
      </w:r>
      <w:r w:rsidR="00344841" w:rsidRPr="2DE4A570">
        <w:rPr>
          <w:rFonts w:ascii="Times New Roman" w:eastAsia="Times New Roman" w:hAnsi="Times New Roman" w:cs="Times New Roman"/>
          <w:color w:val="747678"/>
          <w:sz w:val="20"/>
          <w:szCs w:val="20"/>
        </w:rPr>
        <w:t>ing some legacy</w:t>
      </w:r>
      <w:r w:rsidR="003534FF" w:rsidRPr="2DE4A570">
        <w:rPr>
          <w:rFonts w:ascii="Times New Roman" w:eastAsia="Times New Roman" w:hAnsi="Times New Roman" w:cs="Times New Roman"/>
          <w:color w:val="747678"/>
          <w:sz w:val="20"/>
          <w:szCs w:val="20"/>
        </w:rPr>
        <w:t xml:space="preserve"> members</w:t>
      </w:r>
      <w:r w:rsidR="00C1674C" w:rsidRPr="2DE4A570">
        <w:rPr>
          <w:rFonts w:ascii="Times New Roman" w:eastAsia="Times New Roman" w:hAnsi="Times New Roman" w:cs="Times New Roman"/>
          <w:color w:val="747678"/>
          <w:sz w:val="20"/>
          <w:szCs w:val="20"/>
        </w:rPr>
        <w:t xml:space="preserve">, all </w:t>
      </w:r>
      <w:r w:rsidR="00270783" w:rsidRPr="2DE4A570">
        <w:rPr>
          <w:rFonts w:ascii="Times New Roman" w:eastAsia="Times New Roman" w:hAnsi="Times New Roman" w:cs="Times New Roman"/>
          <w:color w:val="747678"/>
          <w:sz w:val="20"/>
          <w:szCs w:val="20"/>
        </w:rPr>
        <w:t xml:space="preserve">remaining </w:t>
      </w:r>
      <w:r w:rsidR="00C1674C" w:rsidRPr="2DE4A570">
        <w:rPr>
          <w:rFonts w:ascii="Times New Roman" w:eastAsia="Times New Roman" w:hAnsi="Times New Roman" w:cs="Times New Roman"/>
          <w:color w:val="747678"/>
          <w:sz w:val="20"/>
          <w:szCs w:val="20"/>
        </w:rPr>
        <w:t xml:space="preserve">members </w:t>
      </w:r>
      <w:r w:rsidR="00CF145B" w:rsidRPr="2DE4A570">
        <w:rPr>
          <w:rFonts w:ascii="Times New Roman" w:eastAsia="Times New Roman" w:hAnsi="Times New Roman" w:cs="Times New Roman"/>
          <w:color w:val="747678"/>
          <w:sz w:val="20"/>
          <w:szCs w:val="20"/>
        </w:rPr>
        <w:t xml:space="preserve">assets were </w:t>
      </w:r>
      <w:r w:rsidR="00C1674C" w:rsidRPr="2DE4A570">
        <w:rPr>
          <w:rFonts w:ascii="Times New Roman" w:eastAsia="Times New Roman" w:hAnsi="Times New Roman" w:cs="Times New Roman"/>
          <w:color w:val="747678"/>
          <w:sz w:val="20"/>
          <w:szCs w:val="20"/>
        </w:rPr>
        <w:t xml:space="preserve">transferred to cash pending </w:t>
      </w:r>
      <w:r w:rsidR="00270783" w:rsidRPr="2DE4A570">
        <w:rPr>
          <w:rFonts w:ascii="Times New Roman" w:eastAsia="Times New Roman" w:hAnsi="Times New Roman" w:cs="Times New Roman"/>
          <w:color w:val="747678"/>
          <w:sz w:val="20"/>
          <w:szCs w:val="20"/>
        </w:rPr>
        <w:t>settlement</w:t>
      </w:r>
      <w:r w:rsidR="00C1674C" w:rsidRPr="2DE4A570">
        <w:rPr>
          <w:rFonts w:ascii="Times New Roman" w:eastAsia="Times New Roman" w:hAnsi="Times New Roman" w:cs="Times New Roman"/>
          <w:color w:val="747678"/>
          <w:sz w:val="20"/>
          <w:szCs w:val="20"/>
        </w:rPr>
        <w:t>.</w:t>
      </w:r>
      <w:r w:rsidR="008B064D" w:rsidRPr="2DE4A570">
        <w:rPr>
          <w:rFonts w:ascii="Times New Roman" w:eastAsia="Times New Roman" w:hAnsi="Times New Roman" w:cs="Times New Roman"/>
          <w:color w:val="747678"/>
          <w:sz w:val="20"/>
          <w:szCs w:val="20"/>
        </w:rPr>
        <w:t xml:space="preserve">  For those members who did not transfer those benefits have </w:t>
      </w:r>
      <w:r w:rsidR="00C6267F" w:rsidRPr="2DE4A570">
        <w:rPr>
          <w:rFonts w:ascii="Times New Roman" w:eastAsia="Times New Roman" w:hAnsi="Times New Roman" w:cs="Times New Roman"/>
          <w:color w:val="747678"/>
          <w:sz w:val="20"/>
          <w:szCs w:val="20"/>
        </w:rPr>
        <w:t>continued to be held pending settlement.</w:t>
      </w:r>
      <w:r w:rsidR="00C1674C" w:rsidRPr="2DE4A570">
        <w:rPr>
          <w:rFonts w:ascii="Times New Roman" w:eastAsia="Times New Roman" w:hAnsi="Times New Roman" w:cs="Times New Roman"/>
          <w:color w:val="747678"/>
          <w:sz w:val="20"/>
          <w:szCs w:val="20"/>
        </w:rPr>
        <w:t xml:space="preserve"> </w:t>
      </w:r>
      <w:r w:rsidRPr="2DE4A570">
        <w:rPr>
          <w:rFonts w:ascii="Times New Roman" w:eastAsia="Times New Roman" w:hAnsi="Times New Roman" w:cs="Times New Roman"/>
          <w:color w:val="747678"/>
          <w:sz w:val="20"/>
          <w:szCs w:val="20"/>
        </w:rPr>
        <w:t xml:space="preserve"> </w:t>
      </w:r>
    </w:p>
    <w:p w14:paraId="323FC78B" w14:textId="42444B24" w:rsidR="008D5BEF" w:rsidRDefault="00C1674C" w:rsidP="3BE70BB8">
      <w:pPr>
        <w:spacing w:after="243" w:line="284" w:lineRule="auto"/>
        <w:ind w:left="-3" w:hanging="10"/>
        <w:jc w:val="both"/>
        <w:rPr>
          <w:rFonts w:ascii="Times New Roman" w:eastAsia="Times New Roman" w:hAnsi="Times New Roman" w:cs="Times New Roman"/>
          <w:color w:val="747678"/>
          <w:sz w:val="20"/>
          <w:szCs w:val="20"/>
        </w:rPr>
      </w:pPr>
      <w:r w:rsidRPr="3BE70BB8">
        <w:rPr>
          <w:rFonts w:ascii="Times New Roman" w:eastAsia="Times New Roman" w:hAnsi="Times New Roman" w:cs="Times New Roman"/>
          <w:color w:val="747678"/>
          <w:sz w:val="20"/>
          <w:szCs w:val="20"/>
        </w:rPr>
        <w:lastRenderedPageBreak/>
        <w:t>The</w:t>
      </w:r>
      <w:r w:rsidR="00BC6FC1" w:rsidRPr="3BE70BB8">
        <w:rPr>
          <w:rFonts w:ascii="Times New Roman" w:eastAsia="Times New Roman" w:hAnsi="Times New Roman" w:cs="Times New Roman"/>
          <w:color w:val="747678"/>
          <w:sz w:val="20"/>
          <w:szCs w:val="20"/>
        </w:rPr>
        <w:t xml:space="preserve"> Trustees </w:t>
      </w:r>
      <w:r w:rsidRPr="3BE70BB8">
        <w:rPr>
          <w:rFonts w:ascii="Times New Roman" w:eastAsia="Times New Roman" w:hAnsi="Times New Roman" w:cs="Times New Roman"/>
          <w:color w:val="747678"/>
          <w:sz w:val="20"/>
          <w:szCs w:val="20"/>
        </w:rPr>
        <w:t xml:space="preserve">previously </w:t>
      </w:r>
      <w:r w:rsidR="00BC6FC1" w:rsidRPr="3BE70BB8">
        <w:rPr>
          <w:rFonts w:ascii="Times New Roman" w:eastAsia="Times New Roman" w:hAnsi="Times New Roman" w:cs="Times New Roman"/>
          <w:color w:val="747678"/>
          <w:sz w:val="20"/>
          <w:szCs w:val="20"/>
        </w:rPr>
        <w:t>offer</w:t>
      </w:r>
      <w:r w:rsidRPr="3BE70BB8">
        <w:rPr>
          <w:rFonts w:ascii="Times New Roman" w:eastAsia="Times New Roman" w:hAnsi="Times New Roman" w:cs="Times New Roman"/>
          <w:color w:val="747678"/>
          <w:sz w:val="20"/>
          <w:szCs w:val="20"/>
        </w:rPr>
        <w:t>ed</w:t>
      </w:r>
      <w:r w:rsidR="00BC6FC1" w:rsidRPr="3BE70BB8">
        <w:rPr>
          <w:rFonts w:ascii="Times New Roman" w:eastAsia="Times New Roman" w:hAnsi="Times New Roman" w:cs="Times New Roman"/>
          <w:color w:val="747678"/>
          <w:sz w:val="20"/>
          <w:szCs w:val="20"/>
        </w:rPr>
        <w:t xml:space="preserve"> members a range of investment options, which they believe</w:t>
      </w:r>
      <w:r w:rsidRPr="3BE70BB8">
        <w:rPr>
          <w:rFonts w:ascii="Times New Roman" w:eastAsia="Times New Roman" w:hAnsi="Times New Roman" w:cs="Times New Roman"/>
          <w:color w:val="747678"/>
          <w:sz w:val="20"/>
          <w:szCs w:val="20"/>
        </w:rPr>
        <w:t>d</w:t>
      </w:r>
      <w:r w:rsidR="00BC6FC1" w:rsidRPr="3BE70BB8">
        <w:rPr>
          <w:rFonts w:ascii="Times New Roman" w:eastAsia="Times New Roman" w:hAnsi="Times New Roman" w:cs="Times New Roman"/>
          <w:color w:val="747678"/>
          <w:sz w:val="20"/>
          <w:szCs w:val="20"/>
        </w:rPr>
        <w:t xml:space="preserve"> </w:t>
      </w:r>
      <w:r w:rsidRPr="3BE70BB8">
        <w:rPr>
          <w:rFonts w:ascii="Times New Roman" w:eastAsia="Times New Roman" w:hAnsi="Times New Roman" w:cs="Times New Roman"/>
          <w:color w:val="747678"/>
          <w:sz w:val="20"/>
          <w:szCs w:val="20"/>
        </w:rPr>
        <w:t>were</w:t>
      </w:r>
      <w:r w:rsidR="00BC6FC1" w:rsidRPr="3BE70BB8">
        <w:rPr>
          <w:rFonts w:ascii="Times New Roman" w:eastAsia="Times New Roman" w:hAnsi="Times New Roman" w:cs="Times New Roman"/>
          <w:color w:val="747678"/>
          <w:sz w:val="20"/>
          <w:szCs w:val="20"/>
        </w:rPr>
        <w:t xml:space="preserve"> suitable for meeting the </w:t>
      </w:r>
      <w:r w:rsidR="00C6267F" w:rsidRPr="3BE70BB8">
        <w:rPr>
          <w:rFonts w:ascii="Times New Roman" w:eastAsia="Times New Roman" w:hAnsi="Times New Roman" w:cs="Times New Roman"/>
          <w:color w:val="747678"/>
          <w:sz w:val="20"/>
          <w:szCs w:val="20"/>
        </w:rPr>
        <w:t xml:space="preserve">ongoing </w:t>
      </w:r>
      <w:r w:rsidR="00BC6FC1" w:rsidRPr="3BE70BB8">
        <w:rPr>
          <w:rFonts w:ascii="Times New Roman" w:eastAsia="Times New Roman" w:hAnsi="Times New Roman" w:cs="Times New Roman"/>
          <w:color w:val="747678"/>
          <w:sz w:val="20"/>
          <w:szCs w:val="20"/>
        </w:rPr>
        <w:t>investment objective</w:t>
      </w:r>
      <w:r w:rsidR="00C6267F" w:rsidRPr="3BE70BB8">
        <w:rPr>
          <w:rFonts w:ascii="Times New Roman" w:eastAsia="Times New Roman" w:hAnsi="Times New Roman" w:cs="Times New Roman"/>
          <w:color w:val="747678"/>
          <w:sz w:val="20"/>
          <w:szCs w:val="20"/>
        </w:rPr>
        <w:t>s</w:t>
      </w:r>
      <w:r w:rsidR="0067689F" w:rsidRPr="3BE70BB8">
        <w:rPr>
          <w:rFonts w:ascii="Times New Roman" w:eastAsia="Times New Roman" w:hAnsi="Times New Roman" w:cs="Times New Roman"/>
          <w:color w:val="747678"/>
          <w:sz w:val="20"/>
          <w:szCs w:val="20"/>
        </w:rPr>
        <w:t xml:space="preserve"> of the membership, but remaining assets, pending settlement are </w:t>
      </w:r>
      <w:r w:rsidR="552E642E" w:rsidRPr="3BE70BB8">
        <w:rPr>
          <w:rFonts w:ascii="Times New Roman" w:eastAsia="Times New Roman" w:hAnsi="Times New Roman" w:cs="Times New Roman"/>
          <w:color w:val="747678"/>
          <w:sz w:val="20"/>
          <w:szCs w:val="20"/>
        </w:rPr>
        <w:t xml:space="preserve">held as cash in the Trustee </w:t>
      </w:r>
      <w:r w:rsidR="1AE249DD" w:rsidRPr="3BE70BB8">
        <w:rPr>
          <w:rFonts w:ascii="Times New Roman" w:eastAsia="Times New Roman" w:hAnsi="Times New Roman" w:cs="Times New Roman"/>
          <w:color w:val="747678"/>
          <w:sz w:val="20"/>
          <w:szCs w:val="20"/>
        </w:rPr>
        <w:t>bank account</w:t>
      </w:r>
    </w:p>
    <w:p w14:paraId="53D6E5A1" w14:textId="77777777" w:rsidR="008D5BEF" w:rsidRDefault="00BC6FC1" w:rsidP="00563014">
      <w:pPr>
        <w:pStyle w:val="Heading1"/>
      </w:pPr>
      <w:r>
        <w:t xml:space="preserve">Investment Mandates </w:t>
      </w:r>
    </w:p>
    <w:p w14:paraId="76342BEC" w14:textId="192ADB12" w:rsidR="008D5BEF" w:rsidRDefault="00BC6FC1">
      <w:pPr>
        <w:spacing w:after="203" w:line="284" w:lineRule="auto"/>
        <w:ind w:left="-3" w:hanging="10"/>
        <w:jc w:val="both"/>
      </w:pPr>
      <w:r>
        <w:rPr>
          <w:rFonts w:ascii="Times New Roman" w:eastAsia="Times New Roman" w:hAnsi="Times New Roman" w:cs="Times New Roman"/>
          <w:color w:val="747678"/>
          <w:sz w:val="20"/>
        </w:rPr>
        <w:t xml:space="preserve">The Trustees have selected Legal &amp; General Investment Management (“LGIM”) as the appointed investment manager to manage the </w:t>
      </w:r>
      <w:r w:rsidR="00BA4942">
        <w:rPr>
          <w:rFonts w:ascii="Times New Roman" w:eastAsia="Times New Roman" w:hAnsi="Times New Roman" w:cs="Times New Roman"/>
          <w:color w:val="747678"/>
          <w:sz w:val="20"/>
        </w:rPr>
        <w:t xml:space="preserve">remaining </w:t>
      </w:r>
      <w:r>
        <w:rPr>
          <w:rFonts w:ascii="Times New Roman" w:eastAsia="Times New Roman" w:hAnsi="Times New Roman" w:cs="Times New Roman"/>
          <w:color w:val="747678"/>
          <w:sz w:val="20"/>
        </w:rPr>
        <w:t xml:space="preserve">assets of the Scheme. The investment manager is regulated under the Financial Services and Markets Act 2000. </w:t>
      </w:r>
    </w:p>
    <w:p w14:paraId="4A860627" w14:textId="77777777" w:rsidR="008D5BEF" w:rsidRDefault="00BC6FC1">
      <w:pPr>
        <w:spacing w:after="203" w:line="284" w:lineRule="auto"/>
        <w:ind w:left="-3" w:hanging="10"/>
        <w:jc w:val="both"/>
      </w:pPr>
      <w:r>
        <w:rPr>
          <w:rFonts w:ascii="Times New Roman" w:eastAsia="Times New Roman" w:hAnsi="Times New Roman" w:cs="Times New Roman"/>
          <w:color w:val="747678"/>
          <w:sz w:val="20"/>
        </w:rPr>
        <w:t xml:space="preserve">The Trustees have a rolling contract with their investment manager. </w:t>
      </w:r>
    </w:p>
    <w:p w14:paraId="12A6E51B" w14:textId="1BA7EC1D" w:rsidR="008D5BEF" w:rsidRDefault="00BC6FC1" w:rsidP="00BA4942">
      <w:pPr>
        <w:spacing w:after="203" w:line="284" w:lineRule="auto"/>
        <w:ind w:left="-3" w:hanging="10"/>
        <w:jc w:val="both"/>
      </w:pPr>
      <w:r>
        <w:rPr>
          <w:rFonts w:ascii="Times New Roman" w:eastAsia="Times New Roman" w:hAnsi="Times New Roman" w:cs="Times New Roman"/>
          <w:color w:val="747678"/>
          <w:sz w:val="20"/>
        </w:rPr>
        <w:t xml:space="preserve">The Trustees monitor the performance of their investment manager on a regular basis. </w:t>
      </w:r>
    </w:p>
    <w:p w14:paraId="27AFF59B" w14:textId="77777777" w:rsidR="008D5BEF" w:rsidRDefault="00BC6FC1">
      <w:pPr>
        <w:spacing w:after="243" w:line="284" w:lineRule="auto"/>
        <w:ind w:left="-3" w:hanging="10"/>
        <w:jc w:val="both"/>
      </w:pPr>
      <w:r>
        <w:rPr>
          <w:rFonts w:ascii="Times New Roman" w:eastAsia="Times New Roman" w:hAnsi="Times New Roman" w:cs="Times New Roman"/>
          <w:color w:val="747678"/>
          <w:sz w:val="20"/>
        </w:rPr>
        <w:t xml:space="preserve">The Trustees have set performance objectives, including time periods, consistent with the investment strategy set out in this statement. </w:t>
      </w:r>
    </w:p>
    <w:p w14:paraId="246E0903" w14:textId="77777777" w:rsidR="008D5BEF" w:rsidRDefault="00BC6FC1" w:rsidP="00563014">
      <w:pPr>
        <w:pStyle w:val="Heading1"/>
      </w:pPr>
      <w:r>
        <w:t xml:space="preserve">Investment Manager Remuneration </w:t>
      </w:r>
    </w:p>
    <w:p w14:paraId="2C5C796E" w14:textId="77777777" w:rsidR="008D5BEF" w:rsidRDefault="00BC6FC1">
      <w:pPr>
        <w:spacing w:after="203" w:line="284" w:lineRule="auto"/>
        <w:ind w:left="-3" w:hanging="10"/>
        <w:jc w:val="both"/>
      </w:pPr>
      <w:r>
        <w:rPr>
          <w:rFonts w:ascii="Times New Roman" w:eastAsia="Times New Roman" w:hAnsi="Times New Roman" w:cs="Times New Roman"/>
          <w:color w:val="747678"/>
          <w:sz w:val="20"/>
        </w:rPr>
        <w:t xml:space="preserve">The Trustees monitor the remuneration and incentives that are paid to their investment manager, and how it rewards key staff who manage client funds. </w:t>
      </w:r>
    </w:p>
    <w:p w14:paraId="72AB336B" w14:textId="77777777" w:rsidR="008D5BEF" w:rsidRDefault="00BC6FC1">
      <w:pPr>
        <w:spacing w:after="240" w:line="284" w:lineRule="auto"/>
        <w:ind w:left="-3" w:hanging="10"/>
        <w:jc w:val="both"/>
      </w:pPr>
      <w:r>
        <w:rPr>
          <w:rFonts w:ascii="Times New Roman" w:eastAsia="Times New Roman" w:hAnsi="Times New Roman" w:cs="Times New Roman"/>
          <w:color w:val="747678"/>
          <w:sz w:val="20"/>
        </w:rPr>
        <w:t xml:space="preserve">As part of the monitoring that the Trustees carry out on a regular basis, they ensure that this policy is in line with their investment strategy. </w:t>
      </w:r>
    </w:p>
    <w:p w14:paraId="2CE0947F" w14:textId="77777777" w:rsidR="008D5BEF" w:rsidRDefault="00BC6FC1" w:rsidP="00563014">
      <w:pPr>
        <w:pStyle w:val="Heading1"/>
      </w:pPr>
      <w:r>
        <w:t xml:space="preserve">Investment Manager Philosophy and Engagement </w:t>
      </w:r>
    </w:p>
    <w:p w14:paraId="48117A81" w14:textId="77777777" w:rsidR="00331FEE" w:rsidRDefault="00BC6FC1">
      <w:pPr>
        <w:spacing w:after="203" w:line="284" w:lineRule="auto"/>
        <w:ind w:left="-3" w:hanging="10"/>
        <w:jc w:val="both"/>
        <w:rPr>
          <w:rFonts w:ascii="Times New Roman" w:eastAsia="Times New Roman" w:hAnsi="Times New Roman" w:cs="Times New Roman"/>
          <w:color w:val="747678"/>
          <w:sz w:val="20"/>
        </w:rPr>
      </w:pPr>
      <w:r>
        <w:rPr>
          <w:rFonts w:ascii="Times New Roman" w:eastAsia="Times New Roman" w:hAnsi="Times New Roman" w:cs="Times New Roman"/>
          <w:color w:val="747678"/>
          <w:sz w:val="20"/>
        </w:rPr>
        <w:t xml:space="preserve">The Trustees monitor the investment manager’s processes for assessing the businesses it invests in, and whether business performance over the medium to long-term involves appropriate incentives and a holistic look beyond mainly accountancy measures. </w:t>
      </w:r>
    </w:p>
    <w:p w14:paraId="3EAD9318" w14:textId="296FFB89" w:rsidR="008D5BEF" w:rsidRDefault="00BC6FC1">
      <w:pPr>
        <w:spacing w:after="203" w:line="284" w:lineRule="auto"/>
        <w:ind w:left="-3" w:hanging="10"/>
        <w:jc w:val="both"/>
      </w:pPr>
      <w:r>
        <w:rPr>
          <w:rFonts w:ascii="Times New Roman" w:eastAsia="Times New Roman" w:hAnsi="Times New Roman" w:cs="Times New Roman"/>
          <w:color w:val="747678"/>
          <w:sz w:val="20"/>
        </w:rPr>
        <w:t>The Trustees are conscious of whether the investment manager is incentivised by the agreement with the Trustees to engage with the investee business and to what extent any engagement focuses on improving medium to long-term performance.</w:t>
      </w:r>
      <w:r>
        <w:rPr>
          <w:rFonts w:ascii="Times New Roman" w:eastAsia="Times New Roman" w:hAnsi="Times New Roman" w:cs="Times New Roman"/>
          <w:sz w:val="24"/>
        </w:rPr>
        <w:t xml:space="preserve"> </w:t>
      </w:r>
    </w:p>
    <w:p w14:paraId="23F0DA16" w14:textId="77777777" w:rsidR="008D5BEF" w:rsidRDefault="00BC6FC1" w:rsidP="00563014">
      <w:pPr>
        <w:pStyle w:val="Heading1"/>
      </w:pPr>
      <w:r>
        <w:t xml:space="preserve">Investment Manager Portfolio Costs </w:t>
      </w:r>
    </w:p>
    <w:p w14:paraId="69EB33B7" w14:textId="3C94D2DC" w:rsidR="008D5BEF" w:rsidRDefault="00BC6FC1">
      <w:pPr>
        <w:spacing w:after="243" w:line="284" w:lineRule="auto"/>
        <w:ind w:left="-3" w:hanging="10"/>
        <w:jc w:val="both"/>
      </w:pPr>
      <w:r>
        <w:rPr>
          <w:rFonts w:ascii="Times New Roman" w:eastAsia="Times New Roman" w:hAnsi="Times New Roman" w:cs="Times New Roman"/>
          <w:color w:val="747678"/>
          <w:sz w:val="20"/>
        </w:rPr>
        <w:t xml:space="preserve">The Trustees monitor costs of buying, selling, lending and borrowing investments and they look to monitor the costs breakdown </w:t>
      </w:r>
      <w:r w:rsidR="0042453D">
        <w:rPr>
          <w:rFonts w:ascii="Times New Roman" w:eastAsia="Times New Roman" w:hAnsi="Times New Roman" w:cs="Times New Roman"/>
          <w:color w:val="747678"/>
          <w:sz w:val="20"/>
        </w:rPr>
        <w:t>on a regular basis</w:t>
      </w:r>
      <w:r>
        <w:rPr>
          <w:rFonts w:ascii="Times New Roman" w:eastAsia="Times New Roman" w:hAnsi="Times New Roman" w:cs="Times New Roman"/>
          <w:color w:val="747678"/>
          <w:sz w:val="20"/>
        </w:rPr>
        <w:t xml:space="preserve">, as long as the investment manager provides these costs using the Cost Transparency Initiative template. The Trustees will also ensure that, where appropriate, their investment manager monitors the frequency of transactions and portfolio turnover. If there are any targets, then the Trustees will monitor compliance with these targets. </w:t>
      </w:r>
    </w:p>
    <w:p w14:paraId="4FCC64D0" w14:textId="1AFE17B0" w:rsidR="008D5BEF" w:rsidRDefault="000A76AB">
      <w:pPr>
        <w:spacing w:after="203" w:line="284" w:lineRule="auto"/>
        <w:ind w:left="-3" w:hanging="10"/>
        <w:jc w:val="both"/>
      </w:pPr>
      <w:r w:rsidRPr="2DE4A570">
        <w:rPr>
          <w:rFonts w:ascii="Times New Roman" w:eastAsia="Times New Roman" w:hAnsi="Times New Roman" w:cs="Times New Roman"/>
          <w:color w:val="747678"/>
          <w:sz w:val="20"/>
          <w:szCs w:val="20"/>
        </w:rPr>
        <w:t>Responsible Investment (including ESG factors) and non-financial matters</w:t>
      </w:r>
      <w:r w:rsidR="00E21D36" w:rsidRPr="2DE4A570">
        <w:rPr>
          <w:rFonts w:ascii="Times New Roman" w:eastAsia="Times New Roman" w:hAnsi="Times New Roman" w:cs="Times New Roman"/>
          <w:color w:val="747678"/>
          <w:sz w:val="20"/>
          <w:szCs w:val="20"/>
        </w:rPr>
        <w:t xml:space="preserve">. </w:t>
      </w:r>
      <w:r w:rsidR="00BC6FC1" w:rsidRPr="2DE4A570">
        <w:rPr>
          <w:rFonts w:ascii="Times New Roman" w:eastAsia="Times New Roman" w:hAnsi="Times New Roman" w:cs="Times New Roman"/>
          <w:color w:val="747678"/>
          <w:sz w:val="20"/>
          <w:szCs w:val="20"/>
        </w:rPr>
        <w:t>The Trustees believe that their main duty, reflected in their investment objectives, is to protect the financial interests of the Scheme’s members.  The Trustees believe that environmental, social and governance (“ESG”) considerations (including but not limited to climate change) and stewardship in the selection, retention and realisation of their investments is an integral part of this duty and can contribute to the generation of good investment returns.  Legislation requires that the Trustees form a view of the length of time that they consider is needed for the funding of future benefits by the investments of the Scheme.</w:t>
      </w:r>
    </w:p>
    <w:p w14:paraId="6F445919" w14:textId="2422D7A9" w:rsidR="008D5BEF" w:rsidRDefault="00BC6FC1">
      <w:pPr>
        <w:spacing w:after="203" w:line="284" w:lineRule="auto"/>
        <w:ind w:left="-3" w:hanging="10"/>
        <w:jc w:val="both"/>
      </w:pPr>
      <w:r>
        <w:rPr>
          <w:rFonts w:ascii="Times New Roman" w:eastAsia="Times New Roman" w:hAnsi="Times New Roman" w:cs="Times New Roman"/>
          <w:color w:val="747678"/>
          <w:sz w:val="20"/>
        </w:rPr>
        <w:t xml:space="preserve">The Trustees have elected to invest predominantly in </w:t>
      </w:r>
      <w:r w:rsidR="00AB5964">
        <w:rPr>
          <w:rFonts w:ascii="Times New Roman" w:eastAsia="Times New Roman" w:hAnsi="Times New Roman" w:cs="Times New Roman"/>
          <w:color w:val="747678"/>
          <w:sz w:val="20"/>
        </w:rPr>
        <w:t xml:space="preserve">a </w:t>
      </w:r>
      <w:r>
        <w:rPr>
          <w:rFonts w:ascii="Times New Roman" w:eastAsia="Times New Roman" w:hAnsi="Times New Roman" w:cs="Times New Roman"/>
          <w:color w:val="747678"/>
          <w:sz w:val="20"/>
        </w:rPr>
        <w:t xml:space="preserve">pooled fund at one </w:t>
      </w:r>
      <w:r w:rsidR="00317C44">
        <w:rPr>
          <w:rFonts w:ascii="Times New Roman" w:eastAsia="Times New Roman" w:hAnsi="Times New Roman" w:cs="Times New Roman"/>
          <w:color w:val="747678"/>
          <w:sz w:val="20"/>
        </w:rPr>
        <w:t xml:space="preserve">appointed </w:t>
      </w:r>
      <w:r>
        <w:rPr>
          <w:rFonts w:ascii="Times New Roman" w:eastAsia="Times New Roman" w:hAnsi="Times New Roman" w:cs="Times New Roman"/>
          <w:color w:val="747678"/>
          <w:sz w:val="20"/>
        </w:rPr>
        <w:t xml:space="preserve">manager and it is difficult to, therefore, directly influence the ESG policies, including the day-to-day application of voting rights, of the funds in which they invest (especially where assets are managed passively).  However, the Trustees will seek to understand these </w:t>
      </w:r>
      <w:r>
        <w:rPr>
          <w:rFonts w:ascii="Times New Roman" w:eastAsia="Times New Roman" w:hAnsi="Times New Roman" w:cs="Times New Roman"/>
          <w:color w:val="747678"/>
          <w:sz w:val="20"/>
        </w:rPr>
        <w:lastRenderedPageBreak/>
        <w:t xml:space="preserve">deeper and as part of this they are keen that their manager is a signatory of the UN Principles of Responsible Investment, which is currently the case. </w:t>
      </w:r>
    </w:p>
    <w:p w14:paraId="2C1B169C" w14:textId="20EC37AC" w:rsidR="008D5BEF" w:rsidRDefault="00BC6FC1">
      <w:pPr>
        <w:spacing w:after="203" w:line="284" w:lineRule="auto"/>
        <w:ind w:left="-3" w:hanging="10"/>
        <w:jc w:val="both"/>
      </w:pPr>
      <w:r>
        <w:rPr>
          <w:rFonts w:ascii="Times New Roman" w:eastAsia="Times New Roman" w:hAnsi="Times New Roman" w:cs="Times New Roman"/>
          <w:color w:val="747678"/>
          <w:sz w:val="20"/>
        </w:rPr>
        <w:t xml:space="preserve">The Trustees believe that stewardship is important, through the exercising of rights (including voting rights) attaching to investments. The Trustees have already spoken to their investment manager and note that their investment manager votes on all their funds and that their manager is also a signatory of the UK Stewardship Code. </w:t>
      </w:r>
      <w:r w:rsidR="006F3E8F">
        <w:rPr>
          <w:rFonts w:ascii="Times New Roman" w:eastAsia="Times New Roman" w:hAnsi="Times New Roman" w:cs="Times New Roman"/>
          <w:color w:val="747678"/>
          <w:sz w:val="20"/>
        </w:rPr>
        <w:t xml:space="preserve">  The Trustees are aware of the limited scope of Stewardship given the limited investments now held.</w:t>
      </w:r>
    </w:p>
    <w:p w14:paraId="6EF5AEE8" w14:textId="127DE710" w:rsidR="00FF719D" w:rsidRDefault="00BC6FC1">
      <w:pPr>
        <w:spacing w:after="203" w:line="284" w:lineRule="auto"/>
        <w:ind w:left="-3" w:hanging="10"/>
        <w:jc w:val="both"/>
        <w:rPr>
          <w:rFonts w:ascii="Times New Roman" w:eastAsia="Times New Roman" w:hAnsi="Times New Roman" w:cs="Times New Roman"/>
          <w:color w:val="747678"/>
          <w:sz w:val="20"/>
        </w:rPr>
      </w:pPr>
      <w:r>
        <w:rPr>
          <w:rFonts w:ascii="Times New Roman" w:eastAsia="Times New Roman" w:hAnsi="Times New Roman" w:cs="Times New Roman"/>
          <w:color w:val="747678"/>
          <w:sz w:val="20"/>
        </w:rPr>
        <w:t>The Trustees are aware that ESG and stewardship considerations involve an ongoing process of education for themselves and engagement with their investment manager.</w:t>
      </w:r>
    </w:p>
    <w:p w14:paraId="263F2256" w14:textId="0315FE5F" w:rsidR="008D5BEF" w:rsidRDefault="00FF719D" w:rsidP="00573137">
      <w:pPr>
        <w:spacing w:after="203" w:line="284" w:lineRule="auto"/>
        <w:ind w:left="-3" w:hanging="10"/>
        <w:jc w:val="both"/>
      </w:pPr>
      <w:r w:rsidRPr="00FF719D">
        <w:rPr>
          <w:rFonts w:ascii="Times New Roman" w:eastAsia="Times New Roman" w:hAnsi="Times New Roman" w:cs="Times New Roman"/>
          <w:color w:val="747678"/>
          <w:sz w:val="20"/>
        </w:rPr>
        <w:t>The Trustee</w:t>
      </w:r>
      <w:r>
        <w:rPr>
          <w:rFonts w:ascii="Times New Roman" w:eastAsia="Times New Roman" w:hAnsi="Times New Roman" w:cs="Times New Roman"/>
          <w:color w:val="747678"/>
          <w:sz w:val="20"/>
        </w:rPr>
        <w:t>s</w:t>
      </w:r>
      <w:r w:rsidRPr="00FF719D">
        <w:rPr>
          <w:rFonts w:ascii="Times New Roman" w:eastAsia="Times New Roman" w:hAnsi="Times New Roman" w:cs="Times New Roman"/>
          <w:color w:val="747678"/>
          <w:sz w:val="20"/>
        </w:rPr>
        <w:t xml:space="preserve"> </w:t>
      </w:r>
      <w:r>
        <w:rPr>
          <w:rFonts w:ascii="Times New Roman" w:eastAsia="Times New Roman" w:hAnsi="Times New Roman" w:cs="Times New Roman"/>
          <w:color w:val="747678"/>
          <w:sz w:val="20"/>
        </w:rPr>
        <w:t>are</w:t>
      </w:r>
      <w:r w:rsidRPr="00FF719D">
        <w:rPr>
          <w:rFonts w:ascii="Times New Roman" w:eastAsia="Times New Roman" w:hAnsi="Times New Roman" w:cs="Times New Roman"/>
          <w:color w:val="747678"/>
          <w:sz w:val="20"/>
        </w:rPr>
        <w:t xml:space="preserve"> committed to being a responsible investor in line with its legal duties under the Investment Regulations. Responsible Investment is an approach which seeks to integrate ESG considerations into investment management and ownership practices.</w:t>
      </w:r>
      <w:r w:rsidR="00573137">
        <w:rPr>
          <w:rFonts w:ascii="Times New Roman" w:eastAsia="Times New Roman" w:hAnsi="Times New Roman" w:cs="Times New Roman"/>
          <w:color w:val="747678"/>
          <w:sz w:val="20"/>
        </w:rPr>
        <w:t xml:space="preserve"> In this regard t</w:t>
      </w:r>
      <w:r w:rsidR="00BC6FC1">
        <w:rPr>
          <w:rFonts w:ascii="Times New Roman" w:eastAsia="Times New Roman" w:hAnsi="Times New Roman" w:cs="Times New Roman"/>
          <w:color w:val="747678"/>
          <w:sz w:val="20"/>
        </w:rPr>
        <w:t>he Trustees are aware of the investment manager’s ESG record, in particular in voting and engagement</w:t>
      </w:r>
      <w:r w:rsidR="003C147D">
        <w:rPr>
          <w:rFonts w:ascii="Times New Roman" w:eastAsia="Times New Roman" w:hAnsi="Times New Roman" w:cs="Times New Roman"/>
          <w:color w:val="747678"/>
          <w:sz w:val="20"/>
        </w:rPr>
        <w:t>.</w:t>
      </w:r>
      <w:r w:rsidR="00BC6FC1">
        <w:rPr>
          <w:rFonts w:ascii="Times New Roman" w:eastAsia="Times New Roman" w:hAnsi="Times New Roman" w:cs="Times New Roman"/>
          <w:color w:val="747678"/>
          <w:sz w:val="20"/>
        </w:rPr>
        <w:t xml:space="preserve"> </w:t>
      </w:r>
    </w:p>
    <w:p w14:paraId="5F14F18A" w14:textId="77777777" w:rsidR="008D5BEF" w:rsidRDefault="00BC6FC1">
      <w:pPr>
        <w:spacing w:after="246" w:line="284" w:lineRule="auto"/>
        <w:ind w:left="-3" w:hanging="10"/>
        <w:jc w:val="both"/>
      </w:pPr>
      <w:r>
        <w:rPr>
          <w:rFonts w:ascii="Times New Roman" w:eastAsia="Times New Roman" w:hAnsi="Times New Roman" w:cs="Times New Roman"/>
          <w:color w:val="747678"/>
          <w:sz w:val="20"/>
        </w:rPr>
        <w:t xml:space="preserve">Non-financial matters, including members’ views are not taken into account explicitly. </w:t>
      </w:r>
    </w:p>
    <w:p w14:paraId="41833318" w14:textId="77777777" w:rsidR="008D5BEF" w:rsidRDefault="00BC6FC1" w:rsidP="00563014">
      <w:pPr>
        <w:pStyle w:val="Heading1"/>
      </w:pPr>
      <w:r>
        <w:t xml:space="preserve">Employer-Related Investments </w:t>
      </w:r>
    </w:p>
    <w:p w14:paraId="614BF223" w14:textId="77777777" w:rsidR="008D5BEF" w:rsidRDefault="00BC6FC1">
      <w:pPr>
        <w:spacing w:after="203" w:line="284" w:lineRule="auto"/>
        <w:ind w:left="-3" w:hanging="10"/>
        <w:jc w:val="both"/>
      </w:pPr>
      <w:r>
        <w:rPr>
          <w:rFonts w:ascii="Times New Roman" w:eastAsia="Times New Roman" w:hAnsi="Times New Roman" w:cs="Times New Roman"/>
          <w:color w:val="747678"/>
          <w:sz w:val="20"/>
        </w:rPr>
        <w:t>The Trustees’ policy is not to hold any employer-related investments as defined in the Pensions Act 1995, the Pensions Act 2004 and the Occupational Pension Schemes (Investment) Regulations 2005.</w:t>
      </w:r>
      <w:r>
        <w:rPr>
          <w:rFonts w:ascii="Times New Roman" w:eastAsia="Times New Roman" w:hAnsi="Times New Roman" w:cs="Times New Roman"/>
          <w:color w:val="747678"/>
          <w:sz w:val="24"/>
        </w:rPr>
        <w:t xml:space="preserve"> </w:t>
      </w:r>
    </w:p>
    <w:p w14:paraId="3995216D" w14:textId="77777777" w:rsidR="008D5BEF" w:rsidRDefault="00BC6FC1" w:rsidP="00563014">
      <w:pPr>
        <w:pStyle w:val="Heading1"/>
      </w:pPr>
      <w:r>
        <w:t xml:space="preserve">Fee Structures </w:t>
      </w:r>
    </w:p>
    <w:p w14:paraId="51BDB869" w14:textId="77777777" w:rsidR="003C147D" w:rsidRDefault="00BC6FC1">
      <w:pPr>
        <w:spacing w:after="243" w:line="284" w:lineRule="auto"/>
        <w:ind w:left="-3" w:hanging="10"/>
        <w:jc w:val="both"/>
        <w:rPr>
          <w:rFonts w:ascii="Times New Roman" w:eastAsia="Times New Roman" w:hAnsi="Times New Roman" w:cs="Times New Roman"/>
          <w:color w:val="747678"/>
          <w:sz w:val="20"/>
        </w:rPr>
      </w:pPr>
      <w:r>
        <w:rPr>
          <w:rFonts w:ascii="Times New Roman" w:eastAsia="Times New Roman" w:hAnsi="Times New Roman" w:cs="Times New Roman"/>
          <w:color w:val="747678"/>
          <w:sz w:val="20"/>
        </w:rPr>
        <w:t xml:space="preserve">The investment manager is paid a management fee on the basis of assets under management. </w:t>
      </w:r>
    </w:p>
    <w:p w14:paraId="29301DFA" w14:textId="7FFAC0A7" w:rsidR="008D5BEF" w:rsidRDefault="00BC6FC1">
      <w:pPr>
        <w:spacing w:after="243" w:line="284" w:lineRule="auto"/>
        <w:ind w:left="-3" w:hanging="10"/>
        <w:jc w:val="both"/>
        <w:rPr>
          <w:rFonts w:ascii="Times New Roman" w:eastAsia="Times New Roman" w:hAnsi="Times New Roman" w:cs="Times New Roman"/>
          <w:color w:val="747678"/>
          <w:sz w:val="20"/>
        </w:rPr>
      </w:pPr>
      <w:r>
        <w:rPr>
          <w:rFonts w:ascii="Times New Roman" w:eastAsia="Times New Roman" w:hAnsi="Times New Roman" w:cs="Times New Roman"/>
          <w:color w:val="747678"/>
          <w:sz w:val="20"/>
        </w:rPr>
        <w:t xml:space="preserve">The investment consultant is paid on a project basis, which may be a fixed fee or based on time cost, as negotiated by the Trustees in the interests of obtaining best value for the Scheme. </w:t>
      </w:r>
    </w:p>
    <w:p w14:paraId="0ADD4A2E" w14:textId="77777777" w:rsidR="00427187" w:rsidRPr="009D533A" w:rsidRDefault="00427187" w:rsidP="00427187">
      <w:pPr>
        <w:spacing w:after="243" w:line="284" w:lineRule="auto"/>
        <w:ind w:left="-3" w:hanging="10"/>
        <w:jc w:val="both"/>
        <w:rPr>
          <w:rFonts w:ascii="Times New Roman" w:eastAsia="Times New Roman" w:hAnsi="Times New Roman" w:cs="Times New Roman"/>
          <w:color w:val="747678"/>
          <w:sz w:val="20"/>
        </w:rPr>
      </w:pPr>
      <w:r w:rsidRPr="00F97AFE">
        <w:rPr>
          <w:rFonts w:ascii="Times New Roman" w:eastAsia="Times New Roman" w:hAnsi="Times New Roman" w:cs="Times New Roman"/>
          <w:color w:val="747678"/>
          <w:sz w:val="20"/>
        </w:rPr>
        <w:t>The Trustee</w:t>
      </w:r>
      <w:r w:rsidRPr="009D533A">
        <w:rPr>
          <w:rFonts w:ascii="Times New Roman" w:eastAsia="Times New Roman" w:hAnsi="Times New Roman" w:cs="Times New Roman"/>
          <w:color w:val="747678"/>
          <w:sz w:val="20"/>
        </w:rPr>
        <w:t>s</w:t>
      </w:r>
      <w:r w:rsidRPr="00F97AFE">
        <w:rPr>
          <w:rFonts w:ascii="Times New Roman" w:eastAsia="Times New Roman" w:hAnsi="Times New Roman" w:cs="Times New Roman"/>
          <w:color w:val="747678"/>
          <w:sz w:val="20"/>
        </w:rPr>
        <w:t xml:space="preserve"> recognise that portfolio turnover and associated transaction costs are a necessary part of investment management and that the impact of portfolio turnover costs is reflected in performance figures provided by the investment manager. </w:t>
      </w:r>
    </w:p>
    <w:p w14:paraId="202E8102" w14:textId="0CCD5904" w:rsidR="00427187" w:rsidRPr="00F97AFE" w:rsidRDefault="00434D6D" w:rsidP="00427187">
      <w:pPr>
        <w:spacing w:after="243" w:line="284" w:lineRule="auto"/>
        <w:ind w:left="-3" w:hanging="10"/>
        <w:jc w:val="both"/>
        <w:rPr>
          <w:rFonts w:ascii="Times New Roman" w:eastAsia="Times New Roman" w:hAnsi="Times New Roman" w:cs="Times New Roman"/>
          <w:color w:val="747678"/>
          <w:sz w:val="20"/>
        </w:rPr>
      </w:pPr>
      <w:r w:rsidRPr="009D533A">
        <w:rPr>
          <w:rFonts w:ascii="Times New Roman" w:eastAsia="Times New Roman" w:hAnsi="Times New Roman" w:cs="Times New Roman"/>
          <w:color w:val="747678"/>
          <w:sz w:val="20"/>
        </w:rPr>
        <w:t>Overall fees including p</w:t>
      </w:r>
      <w:r w:rsidR="00427187" w:rsidRPr="00F97AFE">
        <w:rPr>
          <w:rFonts w:ascii="Times New Roman" w:eastAsia="Times New Roman" w:hAnsi="Times New Roman" w:cs="Times New Roman"/>
          <w:color w:val="747678"/>
          <w:sz w:val="20"/>
        </w:rPr>
        <w:t>ortfolio turnover are monitored on an annual basis by the Trustee</w:t>
      </w:r>
      <w:r w:rsidRPr="009D533A">
        <w:rPr>
          <w:rFonts w:ascii="Times New Roman" w:eastAsia="Times New Roman" w:hAnsi="Times New Roman" w:cs="Times New Roman"/>
          <w:color w:val="747678"/>
          <w:sz w:val="20"/>
        </w:rPr>
        <w:t>s</w:t>
      </w:r>
      <w:r w:rsidR="00427187" w:rsidRPr="00F97AFE">
        <w:rPr>
          <w:rFonts w:ascii="Times New Roman" w:eastAsia="Times New Roman" w:hAnsi="Times New Roman" w:cs="Times New Roman"/>
          <w:color w:val="747678"/>
          <w:sz w:val="20"/>
        </w:rPr>
        <w:t xml:space="preserve"> as part of the annual Chair’s Statement</w:t>
      </w:r>
      <w:r w:rsidRPr="009D533A">
        <w:rPr>
          <w:rFonts w:ascii="Times New Roman" w:eastAsia="Times New Roman" w:hAnsi="Times New Roman" w:cs="Times New Roman"/>
          <w:color w:val="747678"/>
          <w:sz w:val="20"/>
        </w:rPr>
        <w:t>.</w:t>
      </w:r>
    </w:p>
    <w:p w14:paraId="00D1AF0B" w14:textId="77777777" w:rsidR="00434D6D" w:rsidRDefault="00434D6D">
      <w:pPr>
        <w:spacing w:line="278" w:lineRule="auto"/>
        <w:rPr>
          <w:rFonts w:ascii="Times New Roman" w:eastAsia="Times New Roman" w:hAnsi="Times New Roman" w:cs="Times New Roman"/>
          <w:color w:val="747678"/>
          <w:sz w:val="20"/>
        </w:rPr>
      </w:pPr>
      <w:r>
        <w:rPr>
          <w:rFonts w:ascii="Times New Roman" w:eastAsia="Times New Roman" w:hAnsi="Times New Roman" w:cs="Times New Roman"/>
          <w:color w:val="747678"/>
          <w:sz w:val="20"/>
        </w:rPr>
        <w:br w:type="page"/>
      </w:r>
    </w:p>
    <w:p w14:paraId="35FACF52" w14:textId="0590030D" w:rsidR="008D5BEF" w:rsidRDefault="00BC6FC1" w:rsidP="00563014">
      <w:pPr>
        <w:pStyle w:val="Heading1"/>
      </w:pPr>
      <w:r>
        <w:lastRenderedPageBreak/>
        <w:t xml:space="preserve">Review of this Statement </w:t>
      </w:r>
    </w:p>
    <w:p w14:paraId="71F04BE9" w14:textId="534F3C0C" w:rsidR="008D5BEF" w:rsidRDefault="00BC6FC1">
      <w:pPr>
        <w:spacing w:after="285" w:line="284" w:lineRule="auto"/>
        <w:ind w:left="-3" w:hanging="10"/>
        <w:jc w:val="both"/>
      </w:pPr>
      <w:r>
        <w:rPr>
          <w:rFonts w:ascii="Times New Roman" w:eastAsia="Times New Roman" w:hAnsi="Times New Roman" w:cs="Times New Roman"/>
          <w:color w:val="747678"/>
          <w:sz w:val="20"/>
        </w:rPr>
        <w:t>The Trustees will review this Statement at least once every three years and without delay after any significant change in investment policy.</w:t>
      </w:r>
    </w:p>
    <w:p w14:paraId="2A9D22A8" w14:textId="77777777" w:rsidR="008D5BEF" w:rsidRDefault="00BC6FC1">
      <w:pPr>
        <w:spacing w:after="57"/>
        <w:ind w:left="924"/>
      </w:pPr>
      <w:r>
        <w:rPr>
          <w:rFonts w:ascii="Times New Roman" w:eastAsia="Times New Roman" w:hAnsi="Times New Roman" w:cs="Times New Roman"/>
          <w:color w:val="747678"/>
          <w:sz w:val="20"/>
        </w:rPr>
        <w:t xml:space="preserve"> </w:t>
      </w:r>
      <w:r>
        <w:rPr>
          <w:rFonts w:ascii="Times New Roman" w:eastAsia="Times New Roman" w:hAnsi="Times New Roman" w:cs="Times New Roman"/>
          <w:color w:val="747678"/>
          <w:sz w:val="20"/>
        </w:rPr>
        <w:tab/>
        <w:t xml:space="preserve"> </w:t>
      </w:r>
    </w:p>
    <w:p w14:paraId="3FCE0C68" w14:textId="295B9B26" w:rsidR="008D5BEF" w:rsidRDefault="008D5BEF">
      <w:pPr>
        <w:spacing w:after="0"/>
      </w:pPr>
    </w:p>
    <w:p w14:paraId="5EBECAF2" w14:textId="77777777" w:rsidR="008D5BEF" w:rsidRDefault="00BC6FC1">
      <w:pPr>
        <w:spacing w:after="0"/>
        <w:ind w:left="-3" w:hanging="10"/>
      </w:pPr>
      <w:r>
        <w:rPr>
          <w:rFonts w:ascii="Times New Roman" w:eastAsia="Times New Roman" w:hAnsi="Times New Roman" w:cs="Times New Roman"/>
          <w:color w:val="747678"/>
          <w:sz w:val="20"/>
        </w:rPr>
        <w:t xml:space="preserve">Signed on behalf of the Trustees of the Staff Pension and Life Assurance Scheme of the Royal Hospital for </w:t>
      </w:r>
    </w:p>
    <w:p w14:paraId="587C8599" w14:textId="77777777" w:rsidR="008D5BEF" w:rsidRDefault="00BC6FC1">
      <w:pPr>
        <w:spacing w:after="182"/>
        <w:ind w:left="-3" w:hanging="10"/>
      </w:pPr>
      <w:r>
        <w:rPr>
          <w:rFonts w:ascii="Times New Roman" w:eastAsia="Times New Roman" w:hAnsi="Times New Roman" w:cs="Times New Roman"/>
          <w:color w:val="747678"/>
          <w:sz w:val="20"/>
        </w:rPr>
        <w:t xml:space="preserve">Neuro-disability </w:t>
      </w:r>
    </w:p>
    <w:p w14:paraId="521467A8" w14:textId="07F62A9E" w:rsidR="008D5BEF" w:rsidRDefault="008D5BEF" w:rsidP="24FB3CEE">
      <w:pPr>
        <w:spacing w:after="239"/>
        <w:rPr>
          <w:rFonts w:ascii="Times New Roman" w:eastAsia="Times New Roman" w:hAnsi="Times New Roman" w:cs="Times New Roman"/>
          <w:color w:val="3CB6CE"/>
          <w:sz w:val="28"/>
          <w:szCs w:val="28"/>
        </w:rPr>
      </w:pPr>
    </w:p>
    <w:sectPr w:rsidR="008D5BEF">
      <w:headerReference w:type="default" r:id="rId11"/>
      <w:footerReference w:type="even" r:id="rId12"/>
      <w:footerReference w:type="default" r:id="rId13"/>
      <w:footerReference w:type="first" r:id="rId14"/>
      <w:pgSz w:w="11906" w:h="16838"/>
      <w:pgMar w:top="1440" w:right="1543" w:bottom="1440" w:left="876" w:header="720" w:footer="5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1B421" w14:textId="77777777" w:rsidR="00E31CF7" w:rsidRDefault="00E31CF7">
      <w:pPr>
        <w:spacing w:after="0" w:line="240" w:lineRule="auto"/>
      </w:pPr>
      <w:r>
        <w:separator/>
      </w:r>
    </w:p>
  </w:endnote>
  <w:endnote w:type="continuationSeparator" w:id="0">
    <w:p w14:paraId="263E8B93" w14:textId="77777777" w:rsidR="00E31CF7" w:rsidRDefault="00E31CF7">
      <w:pPr>
        <w:spacing w:after="0" w:line="240" w:lineRule="auto"/>
      </w:pPr>
      <w:r>
        <w:continuationSeparator/>
      </w:r>
    </w:p>
  </w:endnote>
  <w:endnote w:type="continuationNotice" w:id="1">
    <w:p w14:paraId="07E5B59F" w14:textId="77777777" w:rsidR="00AB1F61" w:rsidRDefault="00AB1F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57914" w14:textId="77777777" w:rsidR="008D5BEF" w:rsidRDefault="00BC6FC1">
    <w:pPr>
      <w:spacing w:after="0"/>
      <w:ind w:right="-556"/>
      <w:jc w:val="right"/>
    </w:pPr>
    <w:r>
      <w:rPr>
        <w:rFonts w:ascii="Times New Roman" w:eastAsia="Times New Roman" w:hAnsi="Times New Roman" w:cs="Times New Roman"/>
        <w:color w:val="747678"/>
        <w:sz w:val="18"/>
      </w:rPr>
      <w:t xml:space="preserve">September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2BC8" w14:textId="7002890C" w:rsidR="008D5BEF" w:rsidRDefault="008D5BEF" w:rsidP="24FB3CEE">
    <w:pPr>
      <w:spacing w:after="0"/>
      <w:ind w:right="-556"/>
      <w:jc w:val="right"/>
      <w:rPr>
        <w:rFonts w:ascii="Times New Roman" w:eastAsia="Times New Roman" w:hAnsi="Times New Roman" w:cs="Times New Roman"/>
        <w:color w:val="7476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59F62" w14:textId="77777777" w:rsidR="008D5BEF" w:rsidRDefault="00BC6FC1">
    <w:pPr>
      <w:spacing w:after="0"/>
      <w:ind w:right="-556"/>
      <w:jc w:val="right"/>
    </w:pPr>
    <w:r>
      <w:rPr>
        <w:rFonts w:ascii="Times New Roman" w:eastAsia="Times New Roman" w:hAnsi="Times New Roman" w:cs="Times New Roman"/>
        <w:color w:val="747678"/>
        <w:sz w:val="18"/>
      </w:rPr>
      <w:t xml:space="preserve">September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D9E83" w14:textId="77777777" w:rsidR="00E31CF7" w:rsidRDefault="00E31CF7">
      <w:pPr>
        <w:spacing w:after="0" w:line="240" w:lineRule="auto"/>
      </w:pPr>
      <w:r>
        <w:separator/>
      </w:r>
    </w:p>
  </w:footnote>
  <w:footnote w:type="continuationSeparator" w:id="0">
    <w:p w14:paraId="3D9B3858" w14:textId="77777777" w:rsidR="00E31CF7" w:rsidRDefault="00E31CF7">
      <w:pPr>
        <w:spacing w:after="0" w:line="240" w:lineRule="auto"/>
      </w:pPr>
      <w:r>
        <w:continuationSeparator/>
      </w:r>
    </w:p>
  </w:footnote>
  <w:footnote w:type="continuationNotice" w:id="1">
    <w:p w14:paraId="0FB5594E" w14:textId="77777777" w:rsidR="00AB1F61" w:rsidRDefault="00AB1F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3BE70BB8" w14:paraId="1BEE83D3" w14:textId="77777777" w:rsidTr="00563014">
      <w:trPr>
        <w:trHeight w:val="300"/>
      </w:trPr>
      <w:tc>
        <w:tcPr>
          <w:tcW w:w="3160" w:type="dxa"/>
        </w:tcPr>
        <w:p w14:paraId="3052EA5A" w14:textId="2D9E478E" w:rsidR="3BE70BB8" w:rsidRDefault="3BE70BB8" w:rsidP="00563014">
          <w:pPr>
            <w:pStyle w:val="Header"/>
            <w:ind w:left="-115"/>
          </w:pPr>
        </w:p>
      </w:tc>
      <w:tc>
        <w:tcPr>
          <w:tcW w:w="3160" w:type="dxa"/>
        </w:tcPr>
        <w:p w14:paraId="4A5A6C89" w14:textId="0EA62CBF" w:rsidR="3BE70BB8" w:rsidRDefault="3BE70BB8" w:rsidP="00563014">
          <w:pPr>
            <w:pStyle w:val="Header"/>
            <w:jc w:val="center"/>
          </w:pPr>
        </w:p>
      </w:tc>
      <w:tc>
        <w:tcPr>
          <w:tcW w:w="3160" w:type="dxa"/>
        </w:tcPr>
        <w:p w14:paraId="50453E07" w14:textId="6C2485C9" w:rsidR="3BE70BB8" w:rsidRDefault="3BE70BB8" w:rsidP="00563014">
          <w:pPr>
            <w:pStyle w:val="Header"/>
            <w:ind w:right="-115"/>
            <w:jc w:val="right"/>
          </w:pPr>
        </w:p>
      </w:tc>
    </w:tr>
  </w:tbl>
  <w:p w14:paraId="2290EAAE" w14:textId="3395C5D1" w:rsidR="3BE70BB8" w:rsidRDefault="3BE70BB8" w:rsidP="0056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3726C"/>
    <w:multiLevelType w:val="hybridMultilevel"/>
    <w:tmpl w:val="F4D2A34C"/>
    <w:lvl w:ilvl="0" w:tplc="41E0AA48">
      <w:start w:val="1"/>
      <w:numFmt w:val="bullet"/>
      <w:lvlText w:val="•"/>
      <w:lvlJc w:val="left"/>
      <w:pPr>
        <w:ind w:left="403"/>
      </w:pPr>
      <w:rPr>
        <w:rFonts w:ascii="Arial" w:eastAsia="Arial" w:hAnsi="Arial" w:cs="Arial"/>
        <w:b w:val="0"/>
        <w:i w:val="0"/>
        <w:strike w:val="0"/>
        <w:dstrike w:val="0"/>
        <w:color w:val="3CB6CE"/>
        <w:sz w:val="20"/>
        <w:szCs w:val="20"/>
        <w:u w:val="none" w:color="000000"/>
        <w:bdr w:val="none" w:sz="0" w:space="0" w:color="auto"/>
        <w:shd w:val="clear" w:color="auto" w:fill="auto"/>
        <w:vertAlign w:val="baseline"/>
      </w:rPr>
    </w:lvl>
    <w:lvl w:ilvl="1" w:tplc="FBD02456">
      <w:start w:val="1"/>
      <w:numFmt w:val="bullet"/>
      <w:lvlText w:val="o"/>
      <w:lvlJc w:val="left"/>
      <w:pPr>
        <w:ind w:left="1080"/>
      </w:pPr>
      <w:rPr>
        <w:rFonts w:ascii="Times New Roman" w:eastAsia="Times New Roman" w:hAnsi="Times New Roman" w:cs="Times New Roman"/>
        <w:b w:val="0"/>
        <w:i w:val="0"/>
        <w:strike w:val="0"/>
        <w:dstrike w:val="0"/>
        <w:color w:val="3CB6CE"/>
        <w:sz w:val="20"/>
        <w:szCs w:val="20"/>
        <w:u w:val="none" w:color="000000"/>
        <w:bdr w:val="none" w:sz="0" w:space="0" w:color="auto"/>
        <w:shd w:val="clear" w:color="auto" w:fill="auto"/>
        <w:vertAlign w:val="baseline"/>
      </w:rPr>
    </w:lvl>
    <w:lvl w:ilvl="2" w:tplc="4AC2429C">
      <w:start w:val="1"/>
      <w:numFmt w:val="bullet"/>
      <w:lvlText w:val="▪"/>
      <w:lvlJc w:val="left"/>
      <w:pPr>
        <w:ind w:left="1800"/>
      </w:pPr>
      <w:rPr>
        <w:rFonts w:ascii="Times New Roman" w:eastAsia="Times New Roman" w:hAnsi="Times New Roman" w:cs="Times New Roman"/>
        <w:b w:val="0"/>
        <w:i w:val="0"/>
        <w:strike w:val="0"/>
        <w:dstrike w:val="0"/>
        <w:color w:val="3CB6CE"/>
        <w:sz w:val="20"/>
        <w:szCs w:val="20"/>
        <w:u w:val="none" w:color="000000"/>
        <w:bdr w:val="none" w:sz="0" w:space="0" w:color="auto"/>
        <w:shd w:val="clear" w:color="auto" w:fill="auto"/>
        <w:vertAlign w:val="baseline"/>
      </w:rPr>
    </w:lvl>
    <w:lvl w:ilvl="3" w:tplc="C6761598">
      <w:start w:val="1"/>
      <w:numFmt w:val="bullet"/>
      <w:lvlText w:val="•"/>
      <w:lvlJc w:val="left"/>
      <w:pPr>
        <w:ind w:left="2520"/>
      </w:pPr>
      <w:rPr>
        <w:rFonts w:ascii="Times New Roman" w:eastAsia="Times New Roman" w:hAnsi="Times New Roman" w:cs="Times New Roman"/>
        <w:b w:val="0"/>
        <w:i w:val="0"/>
        <w:strike w:val="0"/>
        <w:dstrike w:val="0"/>
        <w:color w:val="3CB6CE"/>
        <w:sz w:val="20"/>
        <w:szCs w:val="20"/>
        <w:u w:val="none" w:color="000000"/>
        <w:bdr w:val="none" w:sz="0" w:space="0" w:color="auto"/>
        <w:shd w:val="clear" w:color="auto" w:fill="auto"/>
        <w:vertAlign w:val="baseline"/>
      </w:rPr>
    </w:lvl>
    <w:lvl w:ilvl="4" w:tplc="DD8CDBF4">
      <w:start w:val="1"/>
      <w:numFmt w:val="bullet"/>
      <w:lvlText w:val="o"/>
      <w:lvlJc w:val="left"/>
      <w:pPr>
        <w:ind w:left="3240"/>
      </w:pPr>
      <w:rPr>
        <w:rFonts w:ascii="Times New Roman" w:eastAsia="Times New Roman" w:hAnsi="Times New Roman" w:cs="Times New Roman"/>
        <w:b w:val="0"/>
        <w:i w:val="0"/>
        <w:strike w:val="0"/>
        <w:dstrike w:val="0"/>
        <w:color w:val="3CB6CE"/>
        <w:sz w:val="20"/>
        <w:szCs w:val="20"/>
        <w:u w:val="none" w:color="000000"/>
        <w:bdr w:val="none" w:sz="0" w:space="0" w:color="auto"/>
        <w:shd w:val="clear" w:color="auto" w:fill="auto"/>
        <w:vertAlign w:val="baseline"/>
      </w:rPr>
    </w:lvl>
    <w:lvl w:ilvl="5" w:tplc="C3505FA6">
      <w:start w:val="1"/>
      <w:numFmt w:val="bullet"/>
      <w:lvlText w:val="▪"/>
      <w:lvlJc w:val="left"/>
      <w:pPr>
        <w:ind w:left="3960"/>
      </w:pPr>
      <w:rPr>
        <w:rFonts w:ascii="Times New Roman" w:eastAsia="Times New Roman" w:hAnsi="Times New Roman" w:cs="Times New Roman"/>
        <w:b w:val="0"/>
        <w:i w:val="0"/>
        <w:strike w:val="0"/>
        <w:dstrike w:val="0"/>
        <w:color w:val="3CB6CE"/>
        <w:sz w:val="20"/>
        <w:szCs w:val="20"/>
        <w:u w:val="none" w:color="000000"/>
        <w:bdr w:val="none" w:sz="0" w:space="0" w:color="auto"/>
        <w:shd w:val="clear" w:color="auto" w:fill="auto"/>
        <w:vertAlign w:val="baseline"/>
      </w:rPr>
    </w:lvl>
    <w:lvl w:ilvl="6" w:tplc="C7E07094">
      <w:start w:val="1"/>
      <w:numFmt w:val="bullet"/>
      <w:lvlText w:val="•"/>
      <w:lvlJc w:val="left"/>
      <w:pPr>
        <w:ind w:left="4680"/>
      </w:pPr>
      <w:rPr>
        <w:rFonts w:ascii="Times New Roman" w:eastAsia="Times New Roman" w:hAnsi="Times New Roman" w:cs="Times New Roman"/>
        <w:b w:val="0"/>
        <w:i w:val="0"/>
        <w:strike w:val="0"/>
        <w:dstrike w:val="0"/>
        <w:color w:val="3CB6CE"/>
        <w:sz w:val="20"/>
        <w:szCs w:val="20"/>
        <w:u w:val="none" w:color="000000"/>
        <w:bdr w:val="none" w:sz="0" w:space="0" w:color="auto"/>
        <w:shd w:val="clear" w:color="auto" w:fill="auto"/>
        <w:vertAlign w:val="baseline"/>
      </w:rPr>
    </w:lvl>
    <w:lvl w:ilvl="7" w:tplc="7F542F6E">
      <w:start w:val="1"/>
      <w:numFmt w:val="bullet"/>
      <w:lvlText w:val="o"/>
      <w:lvlJc w:val="left"/>
      <w:pPr>
        <w:ind w:left="5400"/>
      </w:pPr>
      <w:rPr>
        <w:rFonts w:ascii="Times New Roman" w:eastAsia="Times New Roman" w:hAnsi="Times New Roman" w:cs="Times New Roman"/>
        <w:b w:val="0"/>
        <w:i w:val="0"/>
        <w:strike w:val="0"/>
        <w:dstrike w:val="0"/>
        <w:color w:val="3CB6CE"/>
        <w:sz w:val="20"/>
        <w:szCs w:val="20"/>
        <w:u w:val="none" w:color="000000"/>
        <w:bdr w:val="none" w:sz="0" w:space="0" w:color="auto"/>
        <w:shd w:val="clear" w:color="auto" w:fill="auto"/>
        <w:vertAlign w:val="baseline"/>
      </w:rPr>
    </w:lvl>
    <w:lvl w:ilvl="8" w:tplc="10C263C6">
      <w:start w:val="1"/>
      <w:numFmt w:val="bullet"/>
      <w:lvlText w:val="▪"/>
      <w:lvlJc w:val="left"/>
      <w:pPr>
        <w:ind w:left="6120"/>
      </w:pPr>
      <w:rPr>
        <w:rFonts w:ascii="Times New Roman" w:eastAsia="Times New Roman" w:hAnsi="Times New Roman" w:cs="Times New Roman"/>
        <w:b w:val="0"/>
        <w:i w:val="0"/>
        <w:strike w:val="0"/>
        <w:dstrike w:val="0"/>
        <w:color w:val="3CB6CE"/>
        <w:sz w:val="20"/>
        <w:szCs w:val="20"/>
        <w:u w:val="none" w:color="000000"/>
        <w:bdr w:val="none" w:sz="0" w:space="0" w:color="auto"/>
        <w:shd w:val="clear" w:color="auto" w:fill="auto"/>
        <w:vertAlign w:val="baseline"/>
      </w:rPr>
    </w:lvl>
  </w:abstractNum>
  <w:abstractNum w:abstractNumId="1" w15:restartNumberingAfterBreak="0">
    <w:nsid w:val="38E60B10"/>
    <w:multiLevelType w:val="hybridMultilevel"/>
    <w:tmpl w:val="36FA63D8"/>
    <w:lvl w:ilvl="0" w:tplc="C05E7F52">
      <w:start w:val="1"/>
      <w:numFmt w:val="bullet"/>
      <w:lvlText w:val="•"/>
      <w:lvlJc w:val="left"/>
      <w:pPr>
        <w:ind w:left="360"/>
      </w:pPr>
      <w:rPr>
        <w:rFonts w:ascii="Arial" w:eastAsia="Arial" w:hAnsi="Arial" w:cs="Arial"/>
        <w:b w:val="0"/>
        <w:i w:val="0"/>
        <w:strike w:val="0"/>
        <w:dstrike w:val="0"/>
        <w:color w:val="0076D6"/>
        <w:sz w:val="20"/>
        <w:szCs w:val="20"/>
        <w:u w:val="none" w:color="000000"/>
        <w:bdr w:val="none" w:sz="0" w:space="0" w:color="auto"/>
        <w:shd w:val="clear" w:color="auto" w:fill="auto"/>
        <w:vertAlign w:val="baseline"/>
      </w:rPr>
    </w:lvl>
    <w:lvl w:ilvl="1" w:tplc="0C36E7BE">
      <w:start w:val="1"/>
      <w:numFmt w:val="bullet"/>
      <w:lvlText w:val="o"/>
      <w:lvlJc w:val="left"/>
      <w:pPr>
        <w:ind w:left="1147"/>
      </w:pPr>
      <w:rPr>
        <w:rFonts w:ascii="Segoe UI Symbol" w:eastAsia="Segoe UI Symbol" w:hAnsi="Segoe UI Symbol" w:cs="Segoe UI Symbol"/>
        <w:b w:val="0"/>
        <w:i w:val="0"/>
        <w:strike w:val="0"/>
        <w:dstrike w:val="0"/>
        <w:color w:val="0076D6"/>
        <w:sz w:val="20"/>
        <w:szCs w:val="20"/>
        <w:u w:val="none" w:color="000000"/>
        <w:bdr w:val="none" w:sz="0" w:space="0" w:color="auto"/>
        <w:shd w:val="clear" w:color="auto" w:fill="auto"/>
        <w:vertAlign w:val="baseline"/>
      </w:rPr>
    </w:lvl>
    <w:lvl w:ilvl="2" w:tplc="0956A602">
      <w:start w:val="1"/>
      <w:numFmt w:val="bullet"/>
      <w:lvlText w:val="▪"/>
      <w:lvlJc w:val="left"/>
      <w:pPr>
        <w:ind w:left="1867"/>
      </w:pPr>
      <w:rPr>
        <w:rFonts w:ascii="Segoe UI Symbol" w:eastAsia="Segoe UI Symbol" w:hAnsi="Segoe UI Symbol" w:cs="Segoe UI Symbol"/>
        <w:b w:val="0"/>
        <w:i w:val="0"/>
        <w:strike w:val="0"/>
        <w:dstrike w:val="0"/>
        <w:color w:val="0076D6"/>
        <w:sz w:val="20"/>
        <w:szCs w:val="20"/>
        <w:u w:val="none" w:color="000000"/>
        <w:bdr w:val="none" w:sz="0" w:space="0" w:color="auto"/>
        <w:shd w:val="clear" w:color="auto" w:fill="auto"/>
        <w:vertAlign w:val="baseline"/>
      </w:rPr>
    </w:lvl>
    <w:lvl w:ilvl="3" w:tplc="4A4461D0">
      <w:start w:val="1"/>
      <w:numFmt w:val="bullet"/>
      <w:lvlText w:val="•"/>
      <w:lvlJc w:val="left"/>
      <w:pPr>
        <w:ind w:left="2587"/>
      </w:pPr>
      <w:rPr>
        <w:rFonts w:ascii="Arial" w:eastAsia="Arial" w:hAnsi="Arial" w:cs="Arial"/>
        <w:b w:val="0"/>
        <w:i w:val="0"/>
        <w:strike w:val="0"/>
        <w:dstrike w:val="0"/>
        <w:color w:val="0076D6"/>
        <w:sz w:val="20"/>
        <w:szCs w:val="20"/>
        <w:u w:val="none" w:color="000000"/>
        <w:bdr w:val="none" w:sz="0" w:space="0" w:color="auto"/>
        <w:shd w:val="clear" w:color="auto" w:fill="auto"/>
        <w:vertAlign w:val="baseline"/>
      </w:rPr>
    </w:lvl>
    <w:lvl w:ilvl="4" w:tplc="DC58A3B6">
      <w:start w:val="1"/>
      <w:numFmt w:val="bullet"/>
      <w:lvlText w:val="o"/>
      <w:lvlJc w:val="left"/>
      <w:pPr>
        <w:ind w:left="3307"/>
      </w:pPr>
      <w:rPr>
        <w:rFonts w:ascii="Segoe UI Symbol" w:eastAsia="Segoe UI Symbol" w:hAnsi="Segoe UI Symbol" w:cs="Segoe UI Symbol"/>
        <w:b w:val="0"/>
        <w:i w:val="0"/>
        <w:strike w:val="0"/>
        <w:dstrike w:val="0"/>
        <w:color w:val="0076D6"/>
        <w:sz w:val="20"/>
        <w:szCs w:val="20"/>
        <w:u w:val="none" w:color="000000"/>
        <w:bdr w:val="none" w:sz="0" w:space="0" w:color="auto"/>
        <w:shd w:val="clear" w:color="auto" w:fill="auto"/>
        <w:vertAlign w:val="baseline"/>
      </w:rPr>
    </w:lvl>
    <w:lvl w:ilvl="5" w:tplc="2004BD62">
      <w:start w:val="1"/>
      <w:numFmt w:val="bullet"/>
      <w:lvlText w:val="▪"/>
      <w:lvlJc w:val="left"/>
      <w:pPr>
        <w:ind w:left="4027"/>
      </w:pPr>
      <w:rPr>
        <w:rFonts w:ascii="Segoe UI Symbol" w:eastAsia="Segoe UI Symbol" w:hAnsi="Segoe UI Symbol" w:cs="Segoe UI Symbol"/>
        <w:b w:val="0"/>
        <w:i w:val="0"/>
        <w:strike w:val="0"/>
        <w:dstrike w:val="0"/>
        <w:color w:val="0076D6"/>
        <w:sz w:val="20"/>
        <w:szCs w:val="20"/>
        <w:u w:val="none" w:color="000000"/>
        <w:bdr w:val="none" w:sz="0" w:space="0" w:color="auto"/>
        <w:shd w:val="clear" w:color="auto" w:fill="auto"/>
        <w:vertAlign w:val="baseline"/>
      </w:rPr>
    </w:lvl>
    <w:lvl w:ilvl="6" w:tplc="0D60A072">
      <w:start w:val="1"/>
      <w:numFmt w:val="bullet"/>
      <w:lvlText w:val="•"/>
      <w:lvlJc w:val="left"/>
      <w:pPr>
        <w:ind w:left="4747"/>
      </w:pPr>
      <w:rPr>
        <w:rFonts w:ascii="Arial" w:eastAsia="Arial" w:hAnsi="Arial" w:cs="Arial"/>
        <w:b w:val="0"/>
        <w:i w:val="0"/>
        <w:strike w:val="0"/>
        <w:dstrike w:val="0"/>
        <w:color w:val="0076D6"/>
        <w:sz w:val="20"/>
        <w:szCs w:val="20"/>
        <w:u w:val="none" w:color="000000"/>
        <w:bdr w:val="none" w:sz="0" w:space="0" w:color="auto"/>
        <w:shd w:val="clear" w:color="auto" w:fill="auto"/>
        <w:vertAlign w:val="baseline"/>
      </w:rPr>
    </w:lvl>
    <w:lvl w:ilvl="7" w:tplc="CFFA1FAA">
      <w:start w:val="1"/>
      <w:numFmt w:val="bullet"/>
      <w:lvlText w:val="o"/>
      <w:lvlJc w:val="left"/>
      <w:pPr>
        <w:ind w:left="5467"/>
      </w:pPr>
      <w:rPr>
        <w:rFonts w:ascii="Segoe UI Symbol" w:eastAsia="Segoe UI Symbol" w:hAnsi="Segoe UI Symbol" w:cs="Segoe UI Symbol"/>
        <w:b w:val="0"/>
        <w:i w:val="0"/>
        <w:strike w:val="0"/>
        <w:dstrike w:val="0"/>
        <w:color w:val="0076D6"/>
        <w:sz w:val="20"/>
        <w:szCs w:val="20"/>
        <w:u w:val="none" w:color="000000"/>
        <w:bdr w:val="none" w:sz="0" w:space="0" w:color="auto"/>
        <w:shd w:val="clear" w:color="auto" w:fill="auto"/>
        <w:vertAlign w:val="baseline"/>
      </w:rPr>
    </w:lvl>
    <w:lvl w:ilvl="8" w:tplc="47A4B608">
      <w:start w:val="1"/>
      <w:numFmt w:val="bullet"/>
      <w:lvlText w:val="▪"/>
      <w:lvlJc w:val="left"/>
      <w:pPr>
        <w:ind w:left="6187"/>
      </w:pPr>
      <w:rPr>
        <w:rFonts w:ascii="Segoe UI Symbol" w:eastAsia="Segoe UI Symbol" w:hAnsi="Segoe UI Symbol" w:cs="Segoe UI Symbol"/>
        <w:b w:val="0"/>
        <w:i w:val="0"/>
        <w:strike w:val="0"/>
        <w:dstrike w:val="0"/>
        <w:color w:val="0076D6"/>
        <w:sz w:val="20"/>
        <w:szCs w:val="20"/>
        <w:u w:val="none" w:color="000000"/>
        <w:bdr w:val="none" w:sz="0" w:space="0" w:color="auto"/>
        <w:shd w:val="clear" w:color="auto" w:fill="auto"/>
        <w:vertAlign w:val="baseline"/>
      </w:rPr>
    </w:lvl>
  </w:abstractNum>
  <w:num w:numId="1" w16cid:durableId="933786954">
    <w:abstractNumId w:val="1"/>
  </w:num>
  <w:num w:numId="2" w16cid:durableId="1625118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BEF"/>
    <w:rsid w:val="00011C4E"/>
    <w:rsid w:val="0002732F"/>
    <w:rsid w:val="00031595"/>
    <w:rsid w:val="000345BE"/>
    <w:rsid w:val="000A76AB"/>
    <w:rsid w:val="000F62C3"/>
    <w:rsid w:val="00140BE6"/>
    <w:rsid w:val="00187436"/>
    <w:rsid w:val="001930EC"/>
    <w:rsid w:val="0019381C"/>
    <w:rsid w:val="001F6E68"/>
    <w:rsid w:val="00204BB5"/>
    <w:rsid w:val="00207557"/>
    <w:rsid w:val="00260A1D"/>
    <w:rsid w:val="0026345F"/>
    <w:rsid w:val="00270783"/>
    <w:rsid w:val="002902EA"/>
    <w:rsid w:val="0030037C"/>
    <w:rsid w:val="00317C44"/>
    <w:rsid w:val="00331FEE"/>
    <w:rsid w:val="00344841"/>
    <w:rsid w:val="0034512C"/>
    <w:rsid w:val="003534FF"/>
    <w:rsid w:val="003847F8"/>
    <w:rsid w:val="003B4F37"/>
    <w:rsid w:val="003C147D"/>
    <w:rsid w:val="003F1A73"/>
    <w:rsid w:val="003F39A2"/>
    <w:rsid w:val="0042453D"/>
    <w:rsid w:val="00427187"/>
    <w:rsid w:val="004331D0"/>
    <w:rsid w:val="00434D6D"/>
    <w:rsid w:val="00505EF5"/>
    <w:rsid w:val="00563014"/>
    <w:rsid w:val="00572127"/>
    <w:rsid w:val="00573137"/>
    <w:rsid w:val="0057379B"/>
    <w:rsid w:val="005A7F3F"/>
    <w:rsid w:val="005C75E0"/>
    <w:rsid w:val="00606E86"/>
    <w:rsid w:val="0067689F"/>
    <w:rsid w:val="006B062A"/>
    <w:rsid w:val="006C1782"/>
    <w:rsid w:val="006C2D82"/>
    <w:rsid w:val="006D7061"/>
    <w:rsid w:val="006E3274"/>
    <w:rsid w:val="006F3E8F"/>
    <w:rsid w:val="007A2250"/>
    <w:rsid w:val="007A22F1"/>
    <w:rsid w:val="008645EB"/>
    <w:rsid w:val="0088134C"/>
    <w:rsid w:val="008A1B5E"/>
    <w:rsid w:val="008A4A85"/>
    <w:rsid w:val="008B064D"/>
    <w:rsid w:val="008D5BEF"/>
    <w:rsid w:val="008F3832"/>
    <w:rsid w:val="00905A10"/>
    <w:rsid w:val="00913783"/>
    <w:rsid w:val="009D533A"/>
    <w:rsid w:val="00AA653E"/>
    <w:rsid w:val="00AB1F61"/>
    <w:rsid w:val="00AB5964"/>
    <w:rsid w:val="00AE3D4C"/>
    <w:rsid w:val="00B53390"/>
    <w:rsid w:val="00B7019E"/>
    <w:rsid w:val="00BA4942"/>
    <w:rsid w:val="00BC6FC1"/>
    <w:rsid w:val="00C14BF9"/>
    <w:rsid w:val="00C1674C"/>
    <w:rsid w:val="00C56BE1"/>
    <w:rsid w:val="00C6267F"/>
    <w:rsid w:val="00C8384F"/>
    <w:rsid w:val="00CF145B"/>
    <w:rsid w:val="00D068CC"/>
    <w:rsid w:val="00D91DC1"/>
    <w:rsid w:val="00D9712F"/>
    <w:rsid w:val="00DA671C"/>
    <w:rsid w:val="00DD01A9"/>
    <w:rsid w:val="00DE0122"/>
    <w:rsid w:val="00DE7F69"/>
    <w:rsid w:val="00E21D36"/>
    <w:rsid w:val="00E30E7C"/>
    <w:rsid w:val="00E31CF7"/>
    <w:rsid w:val="00F73A82"/>
    <w:rsid w:val="00F97AFE"/>
    <w:rsid w:val="00FB49C4"/>
    <w:rsid w:val="00FF719D"/>
    <w:rsid w:val="07C162FC"/>
    <w:rsid w:val="0F5DDC81"/>
    <w:rsid w:val="1AE249DD"/>
    <w:rsid w:val="24FB3CEE"/>
    <w:rsid w:val="2DE4A570"/>
    <w:rsid w:val="3BE70BB8"/>
    <w:rsid w:val="552E64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4104C"/>
  <w15:docId w15:val="{8F4D25D6-F478-4DD7-8124-42CA13B7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73" w:line="259" w:lineRule="auto"/>
      <w:ind w:left="12" w:hanging="10"/>
      <w:outlineLvl w:val="0"/>
    </w:pPr>
    <w:rPr>
      <w:rFonts w:ascii="Arial" w:eastAsia="Arial" w:hAnsi="Arial" w:cs="Arial"/>
      <w:b/>
      <w:color w:val="0076D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76D6"/>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34512C"/>
    <w:pPr>
      <w:spacing w:after="0" w:line="240" w:lineRule="auto"/>
    </w:pPr>
    <w:rPr>
      <w:rFonts w:ascii="Calibri" w:eastAsia="Calibri" w:hAnsi="Calibri" w:cs="Calibri"/>
      <w:color w:val="000000"/>
      <w:sz w:val="22"/>
    </w:rPr>
  </w:style>
  <w:style w:type="paragraph" w:styleId="Header">
    <w:name w:val="header"/>
    <w:basedOn w:val="Normal"/>
    <w:link w:val="HeaderChar"/>
    <w:uiPriority w:val="99"/>
    <w:unhideWhenUsed/>
    <w:rsid w:val="00D06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8CC"/>
    <w:rPr>
      <w:rFonts w:ascii="Calibri" w:eastAsia="Calibri" w:hAnsi="Calibri" w:cs="Calibri"/>
      <w:color w:val="000000"/>
      <w:sz w:val="22"/>
    </w:rPr>
  </w:style>
  <w:style w:type="character" w:styleId="CommentReference">
    <w:name w:val="annotation reference"/>
    <w:basedOn w:val="DefaultParagraphFont"/>
    <w:uiPriority w:val="99"/>
    <w:semiHidden/>
    <w:unhideWhenUsed/>
    <w:rsid w:val="003F39A2"/>
    <w:rPr>
      <w:sz w:val="16"/>
      <w:szCs w:val="16"/>
    </w:rPr>
  </w:style>
  <w:style w:type="paragraph" w:styleId="CommentText">
    <w:name w:val="annotation text"/>
    <w:basedOn w:val="Normal"/>
    <w:link w:val="CommentTextChar"/>
    <w:uiPriority w:val="99"/>
    <w:unhideWhenUsed/>
    <w:rsid w:val="003F39A2"/>
    <w:pPr>
      <w:spacing w:line="240" w:lineRule="auto"/>
    </w:pPr>
    <w:rPr>
      <w:sz w:val="20"/>
      <w:szCs w:val="20"/>
    </w:rPr>
  </w:style>
  <w:style w:type="character" w:customStyle="1" w:styleId="CommentTextChar">
    <w:name w:val="Comment Text Char"/>
    <w:basedOn w:val="DefaultParagraphFont"/>
    <w:link w:val="CommentText"/>
    <w:uiPriority w:val="99"/>
    <w:rsid w:val="003F39A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F39A2"/>
    <w:rPr>
      <w:b/>
      <w:bCs/>
    </w:rPr>
  </w:style>
  <w:style w:type="character" w:customStyle="1" w:styleId="CommentSubjectChar">
    <w:name w:val="Comment Subject Char"/>
    <w:basedOn w:val="CommentTextChar"/>
    <w:link w:val="CommentSubject"/>
    <w:uiPriority w:val="99"/>
    <w:semiHidden/>
    <w:rsid w:val="003F39A2"/>
    <w:rPr>
      <w:rFonts w:ascii="Calibri" w:eastAsia="Calibri" w:hAnsi="Calibri" w:cs="Calibri"/>
      <w:b/>
      <w:bCs/>
      <w:color w:val="000000"/>
      <w:sz w:val="20"/>
      <w:szCs w:val="20"/>
    </w:rPr>
  </w:style>
  <w:style w:type="paragraph" w:styleId="Footer">
    <w:name w:val="footer"/>
    <w:basedOn w:val="Normal"/>
    <w:link w:val="FooterChar"/>
    <w:uiPriority w:val="99"/>
    <w:semiHidden/>
    <w:unhideWhenUsed/>
    <w:rsid w:val="00AB1F6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B1F6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vestment Document" ma:contentTypeID="0x0101003C7C67788CF0444D9690669E06A666C600355AC34BB1C41A49A0D5A10CA430A973" ma:contentTypeVersion="16" ma:contentTypeDescription="" ma:contentTypeScope="" ma:versionID="a04aa81a49cd37e898cb731ca8aeea04">
  <xsd:schema xmlns:xsd="http://www.w3.org/2001/XMLSchema" xmlns:xs="http://www.w3.org/2001/XMLSchema" xmlns:p="http://schemas.microsoft.com/office/2006/metadata/properties" xmlns:ns2="e46c690e-ec2c-4169-8cf9-cd579a48848e" targetNamespace="http://schemas.microsoft.com/office/2006/metadata/properties" ma:root="true" ma:fieldsID="762bb09f6bac3fa68c617f4c7404784e" ns2:_="">
    <xsd:import namespace="e46c690e-ec2c-4169-8cf9-cd579a48848e"/>
    <xsd:element name="properties">
      <xsd:complexType>
        <xsd:sequence>
          <xsd:element name="documentManagement">
            <xsd:complexType>
              <xsd:all>
                <xsd:element ref="ns2:j918ef5d399d46609ef7d7a85892ee5b"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c690e-ec2c-4169-8cf9-cd579a48848e" elementFormDefault="qualified">
    <xsd:import namespace="http://schemas.microsoft.com/office/2006/documentManagement/types"/>
    <xsd:import namespace="http://schemas.microsoft.com/office/infopath/2007/PartnerControls"/>
    <xsd:element name="j918ef5d399d46609ef7d7a85892ee5b" ma:index="8" ma:taxonomy="true" ma:internalName="j918ef5d399d46609ef7d7a85892ee5b" ma:taxonomyFieldName="Investment_x0020_Tag" ma:displayName="Investment Tag" ma:indexed="true" ma:readOnly="false" ma:fieldId="{3918ef5d-399d-4660-9ef7-d7a85892ee5b}" ma:sspId="94969da3-07cb-48e2-8d5c-9afaf04268af" ma:termSetId="da915e24-52e8-435d-8965-efc47ae149c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36a7909-fa9e-44cc-bbe4-3df1b2411737}" ma:internalName="TaxCatchAll" ma:readOnly="false" ma:showField="CatchAllData" ma:web="e46c690e-ec2c-4169-8cf9-cd579a48848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36a7909-fa9e-44cc-bbe4-3df1b2411737}" ma:internalName="TaxCatchAllLabel" ma:readOnly="true" ma:showField="CatchAllDataLabel" ma:web="e46c690e-ec2c-4169-8cf9-cd579a488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46c690e-ec2c-4169-8cf9-cd579a48848e">
      <Value>33</Value>
    </TaxCatchAll>
    <j918ef5d399d46609ef7d7a85892ee5b xmlns="e46c690e-ec2c-4169-8cf9-cd579a48848e">
      <Terms xmlns="http://schemas.microsoft.com/office/infopath/2007/PartnerControls">
        <TermInfo xmlns="http://schemas.microsoft.com/office/infopath/2007/PartnerControls">
          <TermName xmlns="http://schemas.microsoft.com/office/infopath/2007/PartnerControls">SIP</TermName>
          <TermId xmlns="http://schemas.microsoft.com/office/infopath/2007/PartnerControls">b44d3c8f-ba62-4121-918a-887891606257</TermId>
        </TermInfo>
      </Terms>
    </j918ef5d399d46609ef7d7a85892ee5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ABB8F-AB97-4C26-915B-A22209CD6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c690e-ec2c-4169-8cf9-cd579a488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36767-3337-44CD-9F61-B1BDE223A084}">
  <ds:schemaRefs>
    <ds:schemaRef ds:uri="http://schemas.openxmlformats.org/officeDocument/2006/bibliography"/>
  </ds:schemaRefs>
</ds:datastoreItem>
</file>

<file path=customXml/itemProps3.xml><?xml version="1.0" encoding="utf-8"?>
<ds:datastoreItem xmlns:ds="http://schemas.openxmlformats.org/officeDocument/2006/customXml" ds:itemID="{24D1DD74-C527-4482-900A-23E9DC0CA48A}">
  <ds:schemaRefs>
    <ds:schemaRef ds:uri="e46c690e-ec2c-4169-8cf9-cd579a48848e"/>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292B93E9-8ED7-4C36-A1B2-5A8C1924F1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1264</Words>
  <Characters>7211</Characters>
  <Application>Microsoft Office Word</Application>
  <DocSecurity>0</DocSecurity>
  <Lines>60</Lines>
  <Paragraphs>16</Paragraphs>
  <ScaleCrop>false</ScaleCrop>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Beavis</dc:creator>
  <cp:keywords/>
  <cp:lastModifiedBy>Ed Beavis</cp:lastModifiedBy>
  <cp:revision>3</cp:revision>
  <dcterms:created xsi:type="dcterms:W3CDTF">2025-04-10T08:07:00Z</dcterms:created>
  <dcterms:modified xsi:type="dcterms:W3CDTF">2025-04-10T08:57:00Z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0x0101003C7C67788CF0444D9690669E06A666C600355AC34BB1C41A49A0D5A10CA430A973</vt:lpwstr>
  </property>
  <property fmtid="{D5CDD505-2E9C-101B-9397-08002B2CF9AE}" pid="3" name="Order">
    <vt:r8>1881000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Document_x0020_Type">
    <vt:lpwstr/>
  </property>
  <property fmtid="{D5CDD505-2E9C-101B-9397-08002B2CF9AE}" pid="8" name="Investment Tag">
    <vt:lpwstr>33;#SIP|b44d3c8f-ba62-4121-918a-887891606257</vt:lpwstr>
  </property>
  <property fmtid="{D5CDD505-2E9C-101B-9397-08002B2CF9AE}" pid="9" name="d0a218c411aa48e0af009883b06be886">
    <vt:lpwstr/>
  </property>
  <property fmtid="{D5CDD505-2E9C-101B-9397-08002B2CF9AE}" pid="10" name="b4e55c537f8e49a49c3e6a8e772a545e">
    <vt:lpwstr/>
  </property>
  <property fmtid="{D5CDD505-2E9C-101B-9397-08002B2CF9AE}" pid="11" name="Audit_x0020_Tag">
    <vt:lpwstr/>
  </property>
  <property fmtid="{D5CDD505-2E9C-101B-9397-08002B2CF9AE}" pid="12" name="Investment_x0020_Tag">
    <vt:lpwstr>33;#SIP|b44d3c8f-ba62-4121-918a-887891606257</vt:lpwstr>
  </property>
  <property fmtid="{D5CDD505-2E9C-101B-9397-08002B2CF9AE}" pid="13" name="Governance_x0020_Tag">
    <vt:lpwstr/>
  </property>
  <property fmtid="{D5CDD505-2E9C-101B-9397-08002B2CF9AE}" pid="14" name="f68986c5ec4642fbb369338d93860fba">
    <vt:lpwstr/>
  </property>
  <property fmtid="{D5CDD505-2E9C-101B-9397-08002B2CF9AE}" pid="15" name="Invoice_x0020_Tag">
    <vt:lpwstr/>
  </property>
  <property fmtid="{D5CDD505-2E9C-101B-9397-08002B2CF9AE}" pid="16" name="lcd0099abe2942939e9196bdcf5e278a">
    <vt:lpwstr/>
  </property>
  <property fmtid="{D5CDD505-2E9C-101B-9397-08002B2CF9AE}" pid="17" name="pf2568b517374429bd75f0446ec259fa">
    <vt:lpwstr/>
  </property>
  <property fmtid="{D5CDD505-2E9C-101B-9397-08002B2CF9AE}" pid="18" name="k67ef902cb8d42ebb70143e1c5e6897b">
    <vt:lpwstr/>
  </property>
  <property fmtid="{D5CDD505-2E9C-101B-9397-08002B2CF9AE}" pid="19" name="Invoice_x0020_Tag1">
    <vt:lpwstr/>
  </property>
  <property fmtid="{D5CDD505-2E9C-101B-9397-08002B2CF9AE}" pid="20" name="Administration_x0020_Tag">
    <vt:lpwstr/>
  </property>
  <property fmtid="{D5CDD505-2E9C-101B-9397-08002B2CF9AE}" pid="21" name="Scheme_x0020_Tag">
    <vt:lpwstr/>
  </property>
  <property fmtid="{D5CDD505-2E9C-101B-9397-08002B2CF9AE}" pid="22" name="pff474b0c9e54ba3b34ef61c27c5a957">
    <vt:lpwstr/>
  </property>
  <property fmtid="{D5CDD505-2E9C-101B-9397-08002B2CF9AE}" pid="23" name="Invoice Tag1">
    <vt:lpwstr/>
  </property>
  <property fmtid="{D5CDD505-2E9C-101B-9397-08002B2CF9AE}" pid="24" name="Audit Tag">
    <vt:lpwstr/>
  </property>
  <property fmtid="{D5CDD505-2E9C-101B-9397-08002B2CF9AE}" pid="25" name="Scheme Tag">
    <vt:lpwstr/>
  </property>
  <property fmtid="{D5CDD505-2E9C-101B-9397-08002B2CF9AE}" pid="26" name="Document Type">
    <vt:lpwstr/>
  </property>
  <property fmtid="{D5CDD505-2E9C-101B-9397-08002B2CF9AE}" pid="27" name="Administration Tag">
    <vt:lpwstr/>
  </property>
  <property fmtid="{D5CDD505-2E9C-101B-9397-08002B2CF9AE}" pid="28" name="Invoice Tag">
    <vt:lpwstr/>
  </property>
  <property fmtid="{D5CDD505-2E9C-101B-9397-08002B2CF9AE}" pid="29" name="Governance Tag">
    <vt:lpwstr/>
  </property>
</Properties>
</file>